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270DA1" w:rsidRDefault="009B68F6" w:rsidP="00BC7D0C">
      <w:pPr>
        <w:spacing w:line="240" w:lineRule="auto"/>
        <w:ind w:left="0"/>
        <w:jc w:val="both"/>
        <w:rPr>
          <w:color w:val="auto"/>
          <w:lang w:val="fi-FI"/>
        </w:rPr>
      </w:pPr>
      <w:r w:rsidRPr="00A1125E">
        <w:rPr>
          <w:color w:val="auto"/>
          <w:szCs w:val="22"/>
          <w:lang w:val="fi-FI"/>
        </w:rPr>
        <w:t>Asia:</w:t>
      </w:r>
      <w:r w:rsidR="001279E8" w:rsidRPr="00A1125E">
        <w:rPr>
          <w:color w:val="auto"/>
          <w:lang w:val="fi-FI"/>
        </w:rPr>
        <w:t xml:space="preserve"> </w:t>
      </w:r>
      <w:r w:rsidR="00583B45" w:rsidRPr="00583B45">
        <w:rPr>
          <w:color w:val="auto"/>
          <w:lang w:val="fi-FI"/>
        </w:rPr>
        <w:t>Korkeakoulutuksen saavutettavuussuunnitelma</w:t>
      </w:r>
    </w:p>
    <w:p w:rsidR="00583B45" w:rsidRPr="00A1125E" w:rsidRDefault="00583B45" w:rsidP="00BC7D0C">
      <w:pPr>
        <w:spacing w:line="240" w:lineRule="auto"/>
        <w:ind w:left="0"/>
        <w:jc w:val="both"/>
        <w:rPr>
          <w:color w:val="auto"/>
          <w:szCs w:val="22"/>
          <w:lang w:val="fi-FI"/>
        </w:rPr>
      </w:pPr>
      <w:r>
        <w:rPr>
          <w:color w:val="auto"/>
          <w:lang w:val="fi-FI"/>
        </w:rPr>
        <w:t xml:space="preserve">Viite: </w:t>
      </w:r>
      <w:r w:rsidRPr="00583B45">
        <w:rPr>
          <w:color w:val="auto"/>
          <w:lang w:val="fi-FI"/>
        </w:rPr>
        <w:t>VN/3884/2020</w:t>
      </w:r>
    </w:p>
    <w:p w:rsidR="00C53923" w:rsidRPr="00BC6AB3" w:rsidRDefault="00C53923" w:rsidP="00507962">
      <w:pPr>
        <w:pStyle w:val="Otsikko1"/>
        <w:rPr>
          <w:color w:val="auto"/>
          <w:sz w:val="24"/>
          <w:szCs w:val="24"/>
          <w:lang w:val="fi-FI"/>
        </w:rPr>
      </w:pPr>
      <w:r w:rsidRPr="00BC6AB3">
        <w:rPr>
          <w:color w:val="auto"/>
          <w:sz w:val="24"/>
          <w:szCs w:val="24"/>
          <w:lang w:val="fi-FI"/>
        </w:rPr>
        <w:t>Yleistä</w:t>
      </w:r>
    </w:p>
    <w:p w:rsidR="00C53923" w:rsidRDefault="00507962" w:rsidP="00C53923">
      <w:pPr>
        <w:spacing w:line="240" w:lineRule="auto"/>
        <w:ind w:left="1304"/>
        <w:jc w:val="both"/>
        <w:rPr>
          <w:color w:val="auto"/>
          <w:szCs w:val="22"/>
          <w:lang w:val="fi-FI"/>
        </w:rPr>
      </w:pPr>
      <w:r w:rsidRPr="00507962">
        <w:rPr>
          <w:color w:val="auto"/>
          <w:szCs w:val="22"/>
          <w:lang w:val="fi-FI"/>
        </w:rPr>
        <w:t xml:space="preserve">Vammaisten henkilöiden oikeuksien neuvottelukunta VANE kiittää mahdollisuudesta lausua asiasta. VANE on YK:n vammaisten henkilöiden oikeuksien yleissopimuksen (SopS 27/2016; vammaisyleissopimus) kansallinen koordinaatiomekanismi. VANE ottaa lausunnossaan kantaa asiaan vammaisyleissopimuksen </w:t>
      </w:r>
      <w:r w:rsidR="006316B6">
        <w:rPr>
          <w:color w:val="auto"/>
          <w:szCs w:val="22"/>
          <w:lang w:val="fi-FI"/>
        </w:rPr>
        <w:t xml:space="preserve">velvoitteiden </w:t>
      </w:r>
      <w:r w:rsidRPr="00507962">
        <w:rPr>
          <w:color w:val="auto"/>
          <w:szCs w:val="22"/>
          <w:lang w:val="fi-FI"/>
        </w:rPr>
        <w:t>näkökulmasta.</w:t>
      </w:r>
    </w:p>
    <w:p w:rsidR="000E671A" w:rsidRDefault="000E671A" w:rsidP="00C53923">
      <w:pPr>
        <w:spacing w:line="240" w:lineRule="auto"/>
        <w:ind w:left="1304"/>
        <w:jc w:val="both"/>
        <w:rPr>
          <w:color w:val="auto"/>
          <w:szCs w:val="22"/>
          <w:lang w:val="fi-FI"/>
        </w:rPr>
      </w:pPr>
    </w:p>
    <w:p w:rsidR="00C13D29" w:rsidRPr="00C13D29" w:rsidRDefault="00C13D29" w:rsidP="00C13D29">
      <w:pPr>
        <w:pStyle w:val="Otsikko1"/>
        <w:rPr>
          <w:color w:val="auto"/>
          <w:sz w:val="24"/>
          <w:szCs w:val="24"/>
          <w:lang w:val="fi-FI"/>
        </w:rPr>
      </w:pPr>
      <w:r w:rsidRPr="00C13D29">
        <w:rPr>
          <w:color w:val="auto"/>
          <w:sz w:val="24"/>
          <w:szCs w:val="24"/>
          <w:lang w:val="fi-FI"/>
        </w:rPr>
        <w:t>YK:n yleissopimus vammaisten henkilöiden oikeuksista ja esityksen kannalta keskeiset velvoitteet</w:t>
      </w:r>
    </w:p>
    <w:p w:rsidR="00C13D29" w:rsidRDefault="00C13D29" w:rsidP="00C13D29">
      <w:pPr>
        <w:spacing w:line="240" w:lineRule="auto"/>
        <w:ind w:left="1304"/>
        <w:jc w:val="both"/>
        <w:rPr>
          <w:color w:val="auto"/>
          <w:szCs w:val="22"/>
          <w:lang w:val="fi-FI"/>
        </w:rPr>
      </w:pPr>
      <w:r w:rsidRPr="00C13D29">
        <w:rPr>
          <w:color w:val="auto"/>
          <w:szCs w:val="22"/>
          <w:lang w:val="fi-FI"/>
        </w:rPr>
        <w:t>YK:n vammaisten henkilöiden oikeuksien yleissopimus on Suomessa laintasoisena voimassa. Yleissopimuksen tarkoituksena on edistää, suojella ja taata kaikille vammaisille henkilöille täysimääräisesti ja yhdenvertaisesti kaikki ihmisoikeudet ja perusvapaudet sekä edistää vammaisten henkilöiden synnynnäisen arvon kunnioittamista.</w:t>
      </w:r>
    </w:p>
    <w:p w:rsidR="007350DB" w:rsidRPr="00C13D29" w:rsidRDefault="007350DB" w:rsidP="00C13D29">
      <w:pPr>
        <w:spacing w:line="240" w:lineRule="auto"/>
        <w:ind w:left="1304"/>
        <w:jc w:val="both"/>
        <w:rPr>
          <w:color w:val="auto"/>
          <w:szCs w:val="22"/>
          <w:lang w:val="fi-FI"/>
        </w:rPr>
      </w:pPr>
      <w:r w:rsidRPr="007350DB">
        <w:rPr>
          <w:color w:val="auto"/>
          <w:szCs w:val="22"/>
          <w:lang w:val="fi-FI"/>
        </w:rPr>
        <w:t xml:space="preserve">Vammaisyleissopimuksen mukaisesti vammaiset henkilöt tulee osallistaa kaikkeen heitä koskevaan päätöksentekoon. Osallistamisvelvoitteen ja sitä tarkentavan yleiskommentin </w:t>
      </w:r>
      <w:r w:rsidRPr="007350DB">
        <w:rPr>
          <w:i/>
          <w:color w:val="auto"/>
          <w:szCs w:val="22"/>
          <w:lang w:val="fi-FI"/>
        </w:rPr>
        <w:t>(General Comment 7: Article 4.3 and 33.3: Participation with persons with disabilities in the implementation and monitoring of the Convention)</w:t>
      </w:r>
      <w:r w:rsidRPr="007350DB">
        <w:rPr>
          <w:color w:val="auto"/>
          <w:szCs w:val="22"/>
          <w:lang w:val="fi-FI"/>
        </w:rPr>
        <w:t xml:space="preserve"> mukaisesti osallistamisen on oltava jatkuvaa ja vammaisjärjestöjen näkemykset on aidosti huomioitava</w:t>
      </w:r>
      <w:r>
        <w:rPr>
          <w:color w:val="auto"/>
          <w:szCs w:val="22"/>
          <w:lang w:val="fi-FI"/>
        </w:rPr>
        <w:t xml:space="preserve"> valmistelussa</w:t>
      </w:r>
      <w:r w:rsidRPr="007350DB">
        <w:rPr>
          <w:color w:val="auto"/>
          <w:szCs w:val="22"/>
          <w:lang w:val="fi-FI"/>
        </w:rPr>
        <w:t>.</w:t>
      </w:r>
      <w:r>
        <w:rPr>
          <w:color w:val="auto"/>
          <w:szCs w:val="22"/>
          <w:lang w:val="fi-FI"/>
        </w:rPr>
        <w:t xml:space="preserve"> </w:t>
      </w:r>
      <w:r w:rsidRPr="007350DB">
        <w:rPr>
          <w:color w:val="auto"/>
          <w:szCs w:val="22"/>
          <w:lang w:val="fi-FI"/>
        </w:rPr>
        <w:t>Osallistaminen on ulotettava kaikkiin lainsäädännöllisiin, hallinnollisiin ja muihin toimiin, jotka voivat suoraan tai välillisesti vaikuttaa vammaisten henkilöiden oikeuksien toteutumiseen.</w:t>
      </w:r>
    </w:p>
    <w:p w:rsidR="00C13D29" w:rsidRPr="00C13D29" w:rsidRDefault="00C13D29" w:rsidP="00C13D29">
      <w:pPr>
        <w:spacing w:line="240" w:lineRule="auto"/>
        <w:ind w:left="1304"/>
        <w:jc w:val="both"/>
        <w:rPr>
          <w:color w:val="auto"/>
          <w:szCs w:val="22"/>
          <w:lang w:val="fi-FI"/>
        </w:rPr>
      </w:pPr>
      <w:r w:rsidRPr="00C13D29">
        <w:rPr>
          <w:color w:val="auto"/>
          <w:szCs w:val="22"/>
          <w:lang w:val="fi-FI"/>
        </w:rPr>
        <w:t>Vammaisyleissopimuksen 24 artiklan mukaisesti sopimuspuolten tulee tunnustaa vammaisen henkilön oikeus koulutukseen yhdenvertaisesti muiden kanssa. Toteuttaakseen tämän oikeuden syrjimättä ja yhdenvertaisesti muiden kanssa sopimuspuolet varmistavat osallistavan koulutusjärjestelmän kaikilla tasoilla sekä elinikäisen oppimisen.</w:t>
      </w:r>
    </w:p>
    <w:p w:rsidR="00C13D29" w:rsidRPr="00C13D29" w:rsidRDefault="000E671A" w:rsidP="00C13D29">
      <w:pPr>
        <w:spacing w:line="240" w:lineRule="auto"/>
        <w:ind w:left="1304"/>
        <w:jc w:val="both"/>
        <w:rPr>
          <w:color w:val="auto"/>
          <w:szCs w:val="22"/>
          <w:lang w:val="fi-FI"/>
        </w:rPr>
      </w:pPr>
      <w:r>
        <w:rPr>
          <w:color w:val="auto"/>
          <w:szCs w:val="22"/>
          <w:lang w:val="fi-FI"/>
        </w:rPr>
        <w:t xml:space="preserve">Vammaisyleissopimuksen </w:t>
      </w:r>
      <w:r w:rsidR="007350DB">
        <w:rPr>
          <w:color w:val="auto"/>
          <w:szCs w:val="22"/>
          <w:lang w:val="fi-FI"/>
        </w:rPr>
        <w:t>24 a</w:t>
      </w:r>
      <w:r w:rsidR="00C13D29" w:rsidRPr="00C13D29">
        <w:rPr>
          <w:color w:val="auto"/>
          <w:szCs w:val="22"/>
          <w:lang w:val="fi-FI"/>
        </w:rPr>
        <w:t>rtiklan mukaisesti sopimuspuolten pitää varmistaa, että vammaisia henkilöitä ei suljeta yleisen koulutusjärjestelmän ulkopuolelle vammaisuuden perusteella; vammaiset henkilöt pääsevät osallistavaan, hyvänlaatuiseen ja maksuttomaan ensimmäisen ja toisen asteen kolutukseen yhdenvertaisesti muiden kanssa niissä yhteisöissä, joissa he elävät; vammaisia henkilöitä varten tehdään heidän yksilöllisten tarpeidensa mukaiset kohtuulliset mukautukset; vammaiset henkilöt saavat yleisessä koulutusjärjestelmässä tuen, jota tarvitaan helpottamaan heidän tehokasta koulutustaan sekä toteutetaan tehokkaat yksilöidyt tukitoimet ympäristöissä, jotka mahdollistavat oppimisen ja sosiaalisen kehityksen maksimoinnin täysimääräisen osallisuuden tavoitteen mukaisesti.</w:t>
      </w:r>
    </w:p>
    <w:p w:rsidR="00C13D29" w:rsidRPr="00C13D29" w:rsidRDefault="00C13D29" w:rsidP="00C13D29">
      <w:pPr>
        <w:spacing w:line="240" w:lineRule="auto"/>
        <w:ind w:left="1304"/>
        <w:jc w:val="both"/>
        <w:rPr>
          <w:color w:val="auto"/>
          <w:szCs w:val="22"/>
          <w:lang w:val="fi-FI"/>
        </w:rPr>
      </w:pPr>
      <w:r w:rsidRPr="00C13D29">
        <w:rPr>
          <w:color w:val="auto"/>
          <w:szCs w:val="22"/>
          <w:lang w:val="fi-FI"/>
        </w:rPr>
        <w:t>Vammaisyleissopimukseen 9 artiklaan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maaseutualueella.</w:t>
      </w:r>
    </w:p>
    <w:p w:rsidR="00C13D29" w:rsidRDefault="00C13D29" w:rsidP="00C13D29">
      <w:pPr>
        <w:spacing w:line="240" w:lineRule="auto"/>
        <w:ind w:left="1304"/>
        <w:jc w:val="both"/>
        <w:rPr>
          <w:color w:val="auto"/>
          <w:szCs w:val="22"/>
          <w:lang w:val="fi-FI"/>
        </w:rPr>
      </w:pPr>
      <w:r w:rsidRPr="00C13D29">
        <w:rPr>
          <w:color w:val="auto"/>
          <w:szCs w:val="22"/>
          <w:lang w:val="fi-FI"/>
        </w:rPr>
        <w:t>Yleissopimuksen 19 artiklan mukaisesti vammaiselle henkilöllä on oikeus elää yhteisössä, jossa heillä on muiden kanssa yhdenvertaiset valinnanmahdollisuudet.</w:t>
      </w:r>
    </w:p>
    <w:p w:rsidR="00FD6C1E" w:rsidRPr="00FD6C1E" w:rsidRDefault="00FD6C1E" w:rsidP="00FD6C1E">
      <w:pPr>
        <w:spacing w:line="240" w:lineRule="auto"/>
        <w:ind w:left="1304"/>
        <w:jc w:val="both"/>
        <w:rPr>
          <w:color w:val="auto"/>
          <w:szCs w:val="22"/>
          <w:lang w:val="fi-FI"/>
        </w:rPr>
      </w:pPr>
      <w:r>
        <w:rPr>
          <w:color w:val="auto"/>
          <w:szCs w:val="22"/>
          <w:lang w:val="fi-FI"/>
        </w:rPr>
        <w:t xml:space="preserve">VANE haluaa myös tuoda esille, että YK:n vammaiskomitea on antanut inklusiivista eli osallistavaa opetusta koskevan yleiskommentin </w:t>
      </w:r>
      <w:r w:rsidRPr="00BC0949">
        <w:rPr>
          <w:i/>
          <w:color w:val="auto"/>
          <w:szCs w:val="22"/>
          <w:lang w:val="fi-FI"/>
        </w:rPr>
        <w:t>(General comment 4</w:t>
      </w:r>
      <w:r w:rsidR="00BC0949" w:rsidRPr="00BC0949">
        <w:rPr>
          <w:i/>
          <w:color w:val="auto"/>
          <w:szCs w:val="22"/>
          <w:lang w:val="fi-FI"/>
        </w:rPr>
        <w:t>; Article 24;</w:t>
      </w:r>
      <w:r w:rsidRPr="00BC0949">
        <w:rPr>
          <w:i/>
          <w:color w:val="auto"/>
          <w:szCs w:val="22"/>
          <w:lang w:val="fi-FI"/>
        </w:rPr>
        <w:t xml:space="preserve"> </w:t>
      </w:r>
      <w:r w:rsidR="00BC0949" w:rsidRPr="00BC0949">
        <w:rPr>
          <w:i/>
          <w:color w:val="auto"/>
          <w:szCs w:val="22"/>
          <w:lang w:val="fi-FI"/>
        </w:rPr>
        <w:t>R</w:t>
      </w:r>
      <w:r w:rsidRPr="00BC0949">
        <w:rPr>
          <w:i/>
          <w:color w:val="auto"/>
          <w:szCs w:val="22"/>
          <w:lang w:val="fi-FI"/>
        </w:rPr>
        <w:t>ight to inclusive education</w:t>
      </w:r>
      <w:r w:rsidR="00BC0949">
        <w:rPr>
          <w:i/>
          <w:color w:val="auto"/>
          <w:szCs w:val="22"/>
          <w:lang w:val="fi-FI"/>
        </w:rPr>
        <w:t>)</w:t>
      </w:r>
      <w:r>
        <w:rPr>
          <w:color w:val="auto"/>
          <w:szCs w:val="22"/>
          <w:lang w:val="fi-FI"/>
        </w:rPr>
        <w:t>. Siinä on muun muassa määritelty osallistava opetus</w:t>
      </w:r>
      <w:r w:rsidR="0038296F">
        <w:rPr>
          <w:color w:val="auto"/>
          <w:szCs w:val="22"/>
          <w:lang w:val="fi-FI"/>
        </w:rPr>
        <w:t xml:space="preserve"> ja sen edellytykset</w:t>
      </w:r>
      <w:r>
        <w:rPr>
          <w:color w:val="auto"/>
          <w:szCs w:val="22"/>
          <w:lang w:val="fi-FI"/>
        </w:rPr>
        <w:t xml:space="preserve">. </w:t>
      </w:r>
    </w:p>
    <w:p w:rsidR="00507962" w:rsidRPr="00BC6AB3" w:rsidRDefault="00507962" w:rsidP="00507962">
      <w:pPr>
        <w:pStyle w:val="Otsikko1"/>
        <w:rPr>
          <w:color w:val="auto"/>
          <w:sz w:val="24"/>
          <w:szCs w:val="24"/>
          <w:lang w:val="fi-FI"/>
        </w:rPr>
      </w:pPr>
      <w:r w:rsidRPr="00BC6AB3">
        <w:rPr>
          <w:color w:val="auto"/>
          <w:sz w:val="24"/>
          <w:szCs w:val="24"/>
          <w:lang w:val="fi-FI"/>
        </w:rPr>
        <w:t>Huomiot esityksestä</w:t>
      </w:r>
    </w:p>
    <w:p w:rsidR="00583B45" w:rsidRDefault="00FD6C1E" w:rsidP="00FD6C1E">
      <w:pPr>
        <w:spacing w:line="240" w:lineRule="auto"/>
        <w:ind w:left="1304"/>
        <w:jc w:val="both"/>
        <w:rPr>
          <w:color w:val="auto"/>
          <w:szCs w:val="22"/>
          <w:lang w:val="fi-FI"/>
        </w:rPr>
      </w:pPr>
      <w:r>
        <w:rPr>
          <w:color w:val="auto"/>
          <w:szCs w:val="22"/>
          <w:lang w:val="fi-FI"/>
        </w:rPr>
        <w:t>VANE pitää erityisen kannatettavana ja hyvänä sitä, että korkeakoulujen saavutettavuuteen ja sen edistämiseen on monipuolisesti kiinnitetty huomiota eri sidosryhmät osallistaen</w:t>
      </w:r>
      <w:r w:rsidR="00A0045B">
        <w:rPr>
          <w:color w:val="auto"/>
          <w:szCs w:val="22"/>
          <w:lang w:val="fi-FI"/>
        </w:rPr>
        <w:t>,</w:t>
      </w:r>
      <w:r>
        <w:rPr>
          <w:color w:val="auto"/>
          <w:szCs w:val="22"/>
          <w:lang w:val="fi-FI"/>
        </w:rPr>
        <w:t xml:space="preserve"> ja työn pohjalta on laadittu hyvät ja konkreettiset suositukset. Selvityksessä on hyvin tunnistettu erilaisia saavutettavuuden esteitä ja ryhmiä, joiden osalta asiaan on syytä kiinnittää erityistä huomiota.</w:t>
      </w:r>
      <w:r w:rsidR="00A0045B">
        <w:rPr>
          <w:color w:val="auto"/>
          <w:szCs w:val="22"/>
          <w:lang w:val="fi-FI"/>
        </w:rPr>
        <w:t xml:space="preserve"> VANE pitää hyvänä sitä, että työssä on huomioitu intersektionaalisuus ja se, että eri tekijät voivat vaikuttaa henkilön yhdenvertaisiin opiskelumahdollisuuksiin.</w:t>
      </w:r>
    </w:p>
    <w:p w:rsidR="00A0045B" w:rsidRDefault="00A0045B" w:rsidP="00FD6C1E">
      <w:pPr>
        <w:spacing w:line="240" w:lineRule="auto"/>
        <w:ind w:left="1304"/>
        <w:jc w:val="both"/>
        <w:rPr>
          <w:color w:val="auto"/>
          <w:szCs w:val="22"/>
          <w:lang w:val="fi-FI"/>
        </w:rPr>
      </w:pPr>
      <w:r>
        <w:rPr>
          <w:color w:val="auto"/>
          <w:szCs w:val="22"/>
          <w:lang w:val="fi-FI"/>
        </w:rPr>
        <w:t>VANE pitää hyvänä myös sitä, että YK:n vammaisyleissopimus ja sen keskeiset velvoitteet on selvityksessä huomioitu sekä taustaosiossa että suosituksissa. VANE korostaa edellisessä kappaleessa mainittuja yleissopimuksen mukaista velvoitteita ja erityisesti vammaisten henkilöiden osallistamisvelvoitetta. Näitä yleissopimuksen velvoitteita voisi vielä laajemmin avata tekstissä. On myös tärkeää huomioida, että osallistamisvelvoitteen mukaisesti tämän selvityksen jatkotyössä ja suositusten toimeenpanossa vammaisten henkilöiden ja vammaisjärjestöjen osallisuuteen tulee kiinnittää</w:t>
      </w:r>
      <w:r w:rsidR="0038296F">
        <w:rPr>
          <w:color w:val="auto"/>
          <w:szCs w:val="22"/>
          <w:lang w:val="fi-FI"/>
        </w:rPr>
        <w:t xml:space="preserve"> erityistä</w:t>
      </w:r>
      <w:r>
        <w:rPr>
          <w:color w:val="auto"/>
          <w:szCs w:val="22"/>
          <w:lang w:val="fi-FI"/>
        </w:rPr>
        <w:t xml:space="preserve"> huomiota.</w:t>
      </w:r>
    </w:p>
    <w:p w:rsidR="00A0045B" w:rsidRDefault="00A0045B" w:rsidP="00A0045B">
      <w:pPr>
        <w:spacing w:line="240" w:lineRule="auto"/>
        <w:ind w:left="1300"/>
        <w:jc w:val="both"/>
        <w:rPr>
          <w:color w:val="auto"/>
          <w:szCs w:val="22"/>
          <w:lang w:val="fi-FI"/>
        </w:rPr>
      </w:pPr>
      <w:r>
        <w:rPr>
          <w:color w:val="auto"/>
          <w:szCs w:val="22"/>
          <w:lang w:val="fi-FI"/>
        </w:rPr>
        <w:t>VANE katsoo, samoin kun selvityksessä on todettu, että vammaisten henkilöiden oikeuksista ja muun muassa kohtuullisista mukautuksista tarvitaan lisää tietoa koko koulutusjärjestelmässä. Tämän vuoksi suositukset tiedon lisäämisestä ja opettajankoulutuksen kehittämisestä ovat erityisen tervetulleita. Myös tietopohjan vahvistaminen on tärkeä tavoite, joihin liittyvät ehdotukset ovat kannatettavia.</w:t>
      </w:r>
    </w:p>
    <w:p w:rsidR="00FE4FEF" w:rsidRDefault="00FE4FEF" w:rsidP="00FE4FEF">
      <w:pPr>
        <w:spacing w:line="240" w:lineRule="auto"/>
        <w:ind w:left="1300"/>
        <w:jc w:val="both"/>
        <w:rPr>
          <w:color w:val="auto"/>
          <w:szCs w:val="22"/>
          <w:lang w:val="fi-FI"/>
        </w:rPr>
      </w:pPr>
      <w:r w:rsidRPr="00FE4FEF">
        <w:rPr>
          <w:color w:val="auto"/>
          <w:szCs w:val="22"/>
          <w:lang w:val="fi-FI"/>
        </w:rPr>
        <w:t>VANE korostaa, että saavutettavuuteen liittyvien haasteiden ratkaisemisessa eri toimijoiden välinen yhteistyö ja tiedonkulku ovat ensiarvoisen tärkeitä. Saavutettavuustyötä on tärkeä kehittää koulutusasteiden, mutta myös jatkuvan oppimisen eri toimijoiden välisessä yhteistyössä. Mahdollisesti perustettavassa foorumissa tulee olla laaja-alainen edustus keskeisiä sidosryhmiä sekä korkeakouluyhteisön jäseniä.</w:t>
      </w:r>
    </w:p>
    <w:p w:rsidR="00A0045B" w:rsidRDefault="00FE4FEF" w:rsidP="00FE4FEF">
      <w:pPr>
        <w:spacing w:line="240" w:lineRule="auto"/>
        <w:ind w:left="1300"/>
        <w:jc w:val="both"/>
        <w:rPr>
          <w:color w:val="auto"/>
          <w:szCs w:val="22"/>
          <w:lang w:val="fi-FI"/>
        </w:rPr>
      </w:pPr>
      <w:r>
        <w:rPr>
          <w:color w:val="auto"/>
          <w:szCs w:val="22"/>
          <w:lang w:val="fi-FI"/>
        </w:rPr>
        <w:t>VANE korostaa YK:n vammaisyleissopimuksen merkitystä ja sen toimeenpanon vahvistamista myös tämän selvityksen vammaisia henkilöitä koskevie</w:t>
      </w:r>
      <w:r w:rsidR="0038296F">
        <w:rPr>
          <w:color w:val="auto"/>
          <w:szCs w:val="22"/>
          <w:lang w:val="fi-FI"/>
        </w:rPr>
        <w:t>n</w:t>
      </w:r>
      <w:r>
        <w:rPr>
          <w:color w:val="auto"/>
          <w:szCs w:val="22"/>
          <w:lang w:val="fi-FI"/>
        </w:rPr>
        <w:t xml:space="preserve"> tavoitteiden saavuttamiseksi. Myös yhdenvertaisuuslaki ja sen tehokas toimeenpano sekä siihen tehtävä osittaisuudistus on merkittäv</w:t>
      </w:r>
      <w:r w:rsidR="0038296F">
        <w:rPr>
          <w:color w:val="auto"/>
          <w:szCs w:val="22"/>
          <w:lang w:val="fi-FI"/>
        </w:rPr>
        <w:t>i</w:t>
      </w:r>
      <w:r>
        <w:rPr>
          <w:color w:val="auto"/>
          <w:szCs w:val="22"/>
          <w:lang w:val="fi-FI"/>
        </w:rPr>
        <w:t>ä</w:t>
      </w:r>
      <w:r w:rsidR="0038296F">
        <w:rPr>
          <w:color w:val="auto"/>
          <w:szCs w:val="22"/>
          <w:lang w:val="fi-FI"/>
        </w:rPr>
        <w:t xml:space="preserve"> työn kannalta</w:t>
      </w:r>
      <w:r>
        <w:rPr>
          <w:color w:val="auto"/>
          <w:szCs w:val="22"/>
          <w:lang w:val="fi-FI"/>
        </w:rPr>
        <w:t>. Ehdotettujen toimien osalta on tärkeää</w:t>
      </w:r>
      <w:r w:rsidRPr="00FE4FEF">
        <w:rPr>
          <w:color w:val="auto"/>
          <w:szCs w:val="22"/>
          <w:lang w:val="fi-FI"/>
        </w:rPr>
        <w:t xml:space="preserve">, että </w:t>
      </w:r>
      <w:r>
        <w:rPr>
          <w:color w:val="auto"/>
          <w:szCs w:val="22"/>
          <w:lang w:val="fi-FI"/>
        </w:rPr>
        <w:t>niiden saavuttamiseksi turvataan riittävä</w:t>
      </w:r>
      <w:r w:rsidRPr="00FE4FEF">
        <w:rPr>
          <w:color w:val="auto"/>
          <w:szCs w:val="22"/>
          <w:lang w:val="fi-FI"/>
        </w:rPr>
        <w:t xml:space="preserve"> resursointi. </w:t>
      </w:r>
    </w:p>
    <w:p w:rsidR="00FE4FEF" w:rsidRDefault="00FE4FEF" w:rsidP="00FE4FEF">
      <w:pPr>
        <w:spacing w:line="240" w:lineRule="auto"/>
        <w:ind w:left="1300"/>
        <w:jc w:val="both"/>
        <w:rPr>
          <w:color w:val="auto"/>
          <w:szCs w:val="22"/>
          <w:lang w:val="fi-FI"/>
        </w:rPr>
      </w:pPr>
      <w:r>
        <w:rPr>
          <w:color w:val="auto"/>
          <w:szCs w:val="22"/>
          <w:lang w:val="fi-FI"/>
        </w:rPr>
        <w:t xml:space="preserve">Selvityksessä käytetyt käsitteet kaipaavat joltain osin hieman tarkennusta </w:t>
      </w:r>
      <w:r w:rsidR="0038296F">
        <w:rPr>
          <w:color w:val="auto"/>
          <w:szCs w:val="22"/>
          <w:lang w:val="fi-FI"/>
        </w:rPr>
        <w:t xml:space="preserve">sen varmistamiseksi, </w:t>
      </w:r>
      <w:r>
        <w:rPr>
          <w:color w:val="auto"/>
          <w:szCs w:val="22"/>
          <w:lang w:val="fi-FI"/>
        </w:rPr>
        <w:t xml:space="preserve">että lukija ymmärtää, mitä käsitteillä kussakin yhteydessä tarkoitetaan. </w:t>
      </w:r>
      <w:r w:rsidRPr="00804E82">
        <w:rPr>
          <w:color w:val="auto"/>
          <w:szCs w:val="22"/>
          <w:lang w:val="fi-FI"/>
        </w:rPr>
        <w:t xml:space="preserve">VANE ehdottaa, että puhuttaessa rakennetun ympäristön </w:t>
      </w:r>
      <w:r w:rsidR="0038296F" w:rsidRPr="00804E82">
        <w:rPr>
          <w:color w:val="auto"/>
          <w:szCs w:val="22"/>
          <w:lang w:val="fi-FI"/>
        </w:rPr>
        <w:t>”</w:t>
      </w:r>
      <w:r w:rsidRPr="00804E82">
        <w:rPr>
          <w:color w:val="auto"/>
          <w:szCs w:val="22"/>
          <w:lang w:val="fi-FI"/>
        </w:rPr>
        <w:t xml:space="preserve">saavutettavuudesta”, käytetään vakiintunutta termiä </w:t>
      </w:r>
      <w:r w:rsidR="00BC0949" w:rsidRPr="00804E82">
        <w:rPr>
          <w:color w:val="auto"/>
          <w:szCs w:val="22"/>
          <w:lang w:val="fi-FI"/>
        </w:rPr>
        <w:t>”</w:t>
      </w:r>
      <w:r w:rsidRPr="00804E82">
        <w:rPr>
          <w:color w:val="auto"/>
          <w:szCs w:val="22"/>
          <w:lang w:val="fi-FI"/>
        </w:rPr>
        <w:t>esteettömyys</w:t>
      </w:r>
      <w:r w:rsidR="00BC0949" w:rsidRPr="00804E82">
        <w:rPr>
          <w:color w:val="auto"/>
          <w:szCs w:val="22"/>
          <w:lang w:val="fi-FI"/>
        </w:rPr>
        <w:t>”</w:t>
      </w:r>
      <w:r w:rsidRPr="00804E82">
        <w:rPr>
          <w:color w:val="auto"/>
          <w:szCs w:val="22"/>
          <w:lang w:val="fi-FI"/>
        </w:rPr>
        <w:t>.</w:t>
      </w:r>
    </w:p>
    <w:p w:rsidR="002F6807" w:rsidRPr="00804E82" w:rsidRDefault="002F6807" w:rsidP="00FE4FEF">
      <w:pPr>
        <w:spacing w:line="240" w:lineRule="auto"/>
        <w:ind w:left="1300"/>
        <w:jc w:val="both"/>
        <w:rPr>
          <w:color w:val="auto"/>
          <w:szCs w:val="22"/>
          <w:lang w:val="fi-FI"/>
        </w:rPr>
      </w:pPr>
      <w:r w:rsidRPr="00804E82">
        <w:rPr>
          <w:color w:val="auto"/>
          <w:szCs w:val="22"/>
          <w:lang w:val="fi-FI"/>
        </w:rPr>
        <w:t xml:space="preserve">Sivulla 36 todetaan ”Rakennetun ympäristön esteettömyys perustuu maankäyttö- ja rakennuslainsäädännössä asetetuille tavoitteille.” Kohtaa voisi täsmentää muuttamalla se muotoon ”asetetuille velvoitteille”. Näitä velvoitteita myös tarkennetaan </w:t>
      </w:r>
      <w:hyperlink r:id="rId8" w:history="1">
        <w:r w:rsidRPr="00804E82">
          <w:rPr>
            <w:rStyle w:val="Hyperlinkki"/>
            <w:color w:val="auto"/>
            <w:szCs w:val="22"/>
            <w:u w:val="none"/>
            <w:lang w:val="fi-FI"/>
          </w:rPr>
          <w:t>valtioneuvoston asetuksessa rakennuksen esteettömyydestä (241/2017)</w:t>
        </w:r>
      </w:hyperlink>
      <w:r w:rsidRPr="00804E82">
        <w:rPr>
          <w:color w:val="auto"/>
          <w:szCs w:val="22"/>
          <w:lang w:val="fi-FI"/>
        </w:rPr>
        <w:t>.</w:t>
      </w:r>
    </w:p>
    <w:p w:rsidR="00FE4FEF" w:rsidRDefault="00FE4FEF" w:rsidP="00FE4FEF">
      <w:pPr>
        <w:spacing w:line="240" w:lineRule="auto"/>
        <w:ind w:left="1300"/>
        <w:jc w:val="both"/>
        <w:rPr>
          <w:color w:val="auto"/>
          <w:szCs w:val="22"/>
          <w:lang w:val="fi-FI"/>
        </w:rPr>
      </w:pPr>
      <w:r>
        <w:rPr>
          <w:color w:val="auto"/>
          <w:szCs w:val="22"/>
          <w:lang w:val="fi-FI"/>
        </w:rPr>
        <w:t xml:space="preserve">VANE myös </w:t>
      </w:r>
      <w:r w:rsidR="00BC0949">
        <w:rPr>
          <w:color w:val="auto"/>
          <w:szCs w:val="22"/>
          <w:lang w:val="fi-FI"/>
        </w:rPr>
        <w:t xml:space="preserve">haluaa tuoda </w:t>
      </w:r>
      <w:r>
        <w:rPr>
          <w:color w:val="auto"/>
          <w:szCs w:val="22"/>
          <w:lang w:val="fi-FI"/>
        </w:rPr>
        <w:t xml:space="preserve">esille, että </w:t>
      </w:r>
      <w:r w:rsidR="00BC0949">
        <w:rPr>
          <w:color w:val="auto"/>
          <w:szCs w:val="22"/>
          <w:lang w:val="fi-FI"/>
        </w:rPr>
        <w:t>l</w:t>
      </w:r>
      <w:r w:rsidRPr="00FE4FEF">
        <w:rPr>
          <w:color w:val="auto"/>
          <w:szCs w:val="22"/>
          <w:lang w:val="fi-FI"/>
        </w:rPr>
        <w:t xml:space="preserve">aissa digitaalisten palvelujen tarjoamisesta </w:t>
      </w:r>
      <w:r w:rsidR="00BC0949">
        <w:rPr>
          <w:color w:val="auto"/>
          <w:szCs w:val="22"/>
          <w:lang w:val="fi-FI"/>
        </w:rPr>
        <w:t>(</w:t>
      </w:r>
      <w:r w:rsidRPr="00FE4FEF">
        <w:rPr>
          <w:color w:val="auto"/>
          <w:szCs w:val="22"/>
          <w:lang w:val="fi-FI"/>
        </w:rPr>
        <w:t>206/2019</w:t>
      </w:r>
      <w:r w:rsidR="00BC0949">
        <w:rPr>
          <w:color w:val="auto"/>
          <w:szCs w:val="22"/>
          <w:lang w:val="fi-FI"/>
        </w:rPr>
        <w:t>)</w:t>
      </w:r>
      <w:r w:rsidRPr="00FE4FEF">
        <w:rPr>
          <w:color w:val="auto"/>
          <w:szCs w:val="22"/>
          <w:lang w:val="fi-FI"/>
        </w:rPr>
        <w:t xml:space="preserve"> saavutettavuudella</w:t>
      </w:r>
      <w:r w:rsidR="00BC0949">
        <w:rPr>
          <w:color w:val="auto"/>
          <w:szCs w:val="22"/>
          <w:lang w:val="fi-FI"/>
        </w:rPr>
        <w:t xml:space="preserve"> </w:t>
      </w:r>
      <w:r w:rsidRPr="00FE4FEF">
        <w:rPr>
          <w:color w:val="auto"/>
          <w:szCs w:val="22"/>
          <w:lang w:val="fi-FI"/>
        </w:rPr>
        <w:t>tarkoitetaan periaatteita ja tekniikoita, joita on noudatettava digitaalisten palvelujen suunnittelussa, kehittämisessä, ylläpidossa ja päivittämisessä, jotta ne olisivat paremmin käyttäjien, erityisesti vammaiste</w:t>
      </w:r>
      <w:r w:rsidR="00BC0949">
        <w:rPr>
          <w:color w:val="auto"/>
          <w:szCs w:val="22"/>
          <w:lang w:val="fi-FI"/>
        </w:rPr>
        <w:t xml:space="preserve">n henkilöiden, saavutettavissa. Tässä selvityksessä saavutettavuutta käytetään toisessa, laajemmassa merkityksessä, ja käsitteen käyttö tässä merkityksessä on hyvä tuoda selvästi esille tiedostaen, että käsite on eri yhteyksissä ja lainsäädännössä vakiintunut eri merkityksissä. </w:t>
      </w:r>
    </w:p>
    <w:p w:rsidR="00BC0949" w:rsidRDefault="00BC0949" w:rsidP="00FE4FEF">
      <w:pPr>
        <w:spacing w:line="240" w:lineRule="auto"/>
        <w:ind w:left="1300"/>
        <w:jc w:val="both"/>
        <w:rPr>
          <w:color w:val="auto"/>
          <w:szCs w:val="22"/>
          <w:lang w:val="fi-FI"/>
        </w:rPr>
      </w:pPr>
      <w:r>
        <w:rPr>
          <w:color w:val="auto"/>
          <w:szCs w:val="22"/>
          <w:lang w:val="fi-FI"/>
        </w:rPr>
        <w:t xml:space="preserve">Lisäksi VANE ehdottaa, että selvityksessä tuodaan osallistavan opetuksen määritelmä esille myös YK:n vammaisyleissopimuksen </w:t>
      </w:r>
      <w:r w:rsidR="0038296F">
        <w:rPr>
          <w:color w:val="auto"/>
          <w:szCs w:val="22"/>
          <w:lang w:val="fi-FI"/>
        </w:rPr>
        <w:t>mukai</w:t>
      </w:r>
      <w:r w:rsidR="000A73CB">
        <w:rPr>
          <w:color w:val="auto"/>
          <w:szCs w:val="22"/>
          <w:lang w:val="fi-FI"/>
        </w:rPr>
        <w:t>s</w:t>
      </w:r>
      <w:r w:rsidR="0038296F">
        <w:rPr>
          <w:color w:val="auto"/>
          <w:szCs w:val="22"/>
          <w:lang w:val="fi-FI"/>
        </w:rPr>
        <w:t>essa</w:t>
      </w:r>
      <w:r>
        <w:rPr>
          <w:color w:val="auto"/>
          <w:szCs w:val="22"/>
          <w:lang w:val="fi-FI"/>
        </w:rPr>
        <w:t xml:space="preserve"> merkityksessä ja laajuudessa. Tätä määrittelyä on tehty kattavasti edellisessä kappaleessa mainitussa YK:n vammaiskomitean antamassa osallistavaa opetusta koskevassa yleiskommentissa.</w:t>
      </w:r>
    </w:p>
    <w:p w:rsidR="00583B45" w:rsidRDefault="0038296F" w:rsidP="0038296F">
      <w:pPr>
        <w:spacing w:line="240" w:lineRule="auto"/>
        <w:ind w:left="1300"/>
        <w:jc w:val="both"/>
        <w:rPr>
          <w:color w:val="auto"/>
          <w:szCs w:val="22"/>
          <w:lang w:val="fi-FI"/>
        </w:rPr>
      </w:pPr>
      <w:r>
        <w:rPr>
          <w:color w:val="auto"/>
          <w:szCs w:val="22"/>
          <w:lang w:val="fi-FI"/>
        </w:rPr>
        <w:t xml:space="preserve">VANE korostaa vielä, että selvityksessä on tunnistettu </w:t>
      </w:r>
      <w:r w:rsidRPr="00804E82">
        <w:rPr>
          <w:color w:val="auto"/>
          <w:szCs w:val="22"/>
          <w:lang w:val="fi-FI"/>
        </w:rPr>
        <w:t>keskeisiä</w:t>
      </w:r>
      <w:r>
        <w:rPr>
          <w:color w:val="auto"/>
          <w:szCs w:val="22"/>
          <w:lang w:val="fi-FI"/>
        </w:rPr>
        <w:t xml:space="preserve"> vammaisten henkilöiden yhdenvertaisten oikeuksien toteutumisen kannalta asioita. VANE korostaa sitä, että nämä havainnot on hyvä huomioida myös muissa hallinnonalan reformeissa ja lainsäädäntöuudistuksissa sekä esimerkiksi hallinnonalan toiminallisessa yhdenvertaisuus- ja tasa-arvotyössä.</w:t>
      </w:r>
    </w:p>
    <w:p w:rsidR="00583B45" w:rsidRDefault="00583B45" w:rsidP="00271E49">
      <w:pPr>
        <w:spacing w:line="240" w:lineRule="auto"/>
        <w:ind w:left="0"/>
        <w:jc w:val="both"/>
        <w:rPr>
          <w:color w:val="auto"/>
          <w:szCs w:val="22"/>
          <w:lang w:val="fi-FI"/>
        </w:rPr>
      </w:pPr>
    </w:p>
    <w:p w:rsidR="00271E49" w:rsidRDefault="009D10AC" w:rsidP="00271E49">
      <w:pPr>
        <w:spacing w:line="240" w:lineRule="auto"/>
        <w:ind w:left="0"/>
        <w:jc w:val="both"/>
        <w:rPr>
          <w:color w:val="auto"/>
          <w:szCs w:val="22"/>
          <w:lang w:val="fi-FI"/>
        </w:rPr>
      </w:pPr>
      <w:r>
        <w:rPr>
          <w:color w:val="auto"/>
          <w:szCs w:val="22"/>
          <w:lang w:val="fi-FI"/>
        </w:rPr>
        <w:t>Vammaisten henkilöiden oikeuksien neuvottelukunta</w:t>
      </w:r>
    </w:p>
    <w:p w:rsidR="009D10AC" w:rsidRDefault="009D10AC" w:rsidP="00271E49">
      <w:pPr>
        <w:spacing w:line="240" w:lineRule="auto"/>
        <w:ind w:left="0"/>
        <w:jc w:val="both"/>
        <w:rPr>
          <w:color w:val="auto"/>
          <w:szCs w:val="22"/>
          <w:lang w:val="fi-FI"/>
        </w:rPr>
      </w:pPr>
    </w:p>
    <w:p w:rsidR="009D10AC" w:rsidRDefault="009D10AC" w:rsidP="00271E49">
      <w:pPr>
        <w:spacing w:line="240" w:lineRule="auto"/>
        <w:ind w:left="0"/>
        <w:jc w:val="both"/>
        <w:rPr>
          <w:color w:val="auto"/>
          <w:szCs w:val="22"/>
          <w:lang w:val="fi-FI"/>
        </w:rPr>
      </w:pPr>
    </w:p>
    <w:p w:rsidR="00E13907" w:rsidRPr="00532CDF" w:rsidRDefault="00804E82" w:rsidP="00804E82">
      <w:pPr>
        <w:spacing w:line="240" w:lineRule="auto"/>
        <w:ind w:left="1304"/>
        <w:jc w:val="both"/>
        <w:rPr>
          <w:color w:val="auto"/>
          <w:szCs w:val="22"/>
          <w:lang w:val="fi-FI"/>
        </w:rPr>
      </w:pPr>
      <w:r>
        <w:rPr>
          <w:color w:val="auto"/>
          <w:szCs w:val="22"/>
          <w:lang w:val="fi-FI"/>
        </w:rPr>
        <w:t>vara</w:t>
      </w:r>
      <w:r w:rsidR="00271E49">
        <w:rPr>
          <w:color w:val="auto"/>
          <w:szCs w:val="22"/>
          <w:lang w:val="fi-FI"/>
        </w:rPr>
        <w:t xml:space="preserve">puheenjohtaja </w:t>
      </w:r>
      <w:r>
        <w:rPr>
          <w:color w:val="auto"/>
          <w:szCs w:val="22"/>
          <w:lang w:val="fi-FI"/>
        </w:rPr>
        <w:t>Kaisa Alanne</w:t>
      </w:r>
      <w:r w:rsidR="00271E49">
        <w:rPr>
          <w:color w:val="auto"/>
          <w:szCs w:val="22"/>
          <w:lang w:val="fi-FI"/>
        </w:rPr>
        <w:t xml:space="preserve"> </w:t>
      </w:r>
      <w:r w:rsidR="00271E49">
        <w:rPr>
          <w:color w:val="auto"/>
          <w:szCs w:val="22"/>
          <w:lang w:val="fi-FI"/>
        </w:rPr>
        <w:tab/>
      </w:r>
      <w:r w:rsidR="00271E49">
        <w:rPr>
          <w:color w:val="auto"/>
          <w:szCs w:val="22"/>
          <w:lang w:val="fi-FI"/>
        </w:rPr>
        <w:tab/>
      </w:r>
      <w:r w:rsidR="00A1125E">
        <w:rPr>
          <w:color w:val="auto"/>
          <w:szCs w:val="22"/>
          <w:lang w:val="fi-FI"/>
        </w:rPr>
        <w:t xml:space="preserve">erityisasiantuntija </w:t>
      </w:r>
      <w:r w:rsidR="001212FF" w:rsidRPr="00532CDF">
        <w:rPr>
          <w:color w:val="auto"/>
          <w:szCs w:val="22"/>
          <w:lang w:val="fi-FI"/>
        </w:rPr>
        <w:t>Tea Hoffrén</w:t>
      </w:r>
    </w:p>
    <w:sectPr w:rsidR="00E13907" w:rsidRPr="00532CDF" w:rsidSect="00C83653">
      <w:headerReference w:type="even" r:id="rId9"/>
      <w:headerReference w:type="default" r:id="rId10"/>
      <w:footerReference w:type="even" r:id="rId11"/>
      <w:footerReference w:type="default" r:id="rId12"/>
      <w:headerReference w:type="first" r:id="rId13"/>
      <w:footerReference w:type="first" r:id="rId14"/>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4B" w:rsidRDefault="00DB7E4B" w:rsidP="006A5311">
      <w:pPr>
        <w:spacing w:after="0" w:line="240" w:lineRule="auto"/>
      </w:pPr>
      <w:r>
        <w:separator/>
      </w:r>
    </w:p>
    <w:p w:rsidR="00DB7E4B" w:rsidRDefault="00DB7E4B"/>
  </w:endnote>
  <w:endnote w:type="continuationSeparator" w:id="0">
    <w:p w:rsidR="00DB7E4B" w:rsidRDefault="00DB7E4B" w:rsidP="006A5311">
      <w:pPr>
        <w:spacing w:after="0" w:line="240" w:lineRule="auto"/>
      </w:pPr>
      <w:r>
        <w:continuationSeparator/>
      </w:r>
    </w:p>
    <w:p w:rsidR="00DB7E4B" w:rsidRDefault="00DB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4B" w:rsidRDefault="00DB7E4B" w:rsidP="006A5311">
      <w:pPr>
        <w:spacing w:after="0" w:line="240" w:lineRule="auto"/>
      </w:pPr>
      <w:r>
        <w:separator/>
      </w:r>
    </w:p>
    <w:p w:rsidR="00DB7E4B" w:rsidRDefault="00DB7E4B"/>
  </w:footnote>
  <w:footnote w:type="continuationSeparator" w:id="0">
    <w:p w:rsidR="00DB7E4B" w:rsidRDefault="00DB7E4B" w:rsidP="006A5311">
      <w:pPr>
        <w:spacing w:after="0" w:line="240" w:lineRule="auto"/>
      </w:pPr>
      <w:r>
        <w:continuationSeparator/>
      </w:r>
    </w:p>
    <w:p w:rsidR="00DB7E4B" w:rsidRDefault="00DB7E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DB7E4B">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A41E21">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A41E21">
      <w:rPr>
        <w:noProof/>
      </w:rPr>
      <w:t>3</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C72E35" w:rsidRDefault="00DB7E4B"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583B45" w:rsidRPr="00397BCB">
      <w:rPr>
        <w:color w:val="auto"/>
        <w:lang w:val="fi-FI"/>
      </w:rPr>
      <w:t>7</w:t>
    </w:r>
    <w:r w:rsidR="00E0446A" w:rsidRPr="00397BCB">
      <w:rPr>
        <w:color w:val="auto"/>
        <w:lang w:val="fi-FI"/>
      </w:rPr>
      <w:t>.</w:t>
    </w:r>
    <w:r w:rsidR="00583B45" w:rsidRPr="00397BCB">
      <w:rPr>
        <w:color w:val="auto"/>
        <w:lang w:val="fi-FI"/>
      </w:rPr>
      <w:t>5</w:t>
    </w:r>
    <w:r w:rsidR="009B68F6" w:rsidRPr="00397BCB">
      <w:rPr>
        <w:color w:val="auto"/>
        <w:lang w:val="fi-FI"/>
      </w:rPr>
      <w:t>.</w:t>
    </w:r>
    <w:r w:rsidR="00E0446A" w:rsidRPr="00397BCB">
      <w:rPr>
        <w:color w:val="auto"/>
        <w:lang w:val="fi-FI"/>
      </w:rPr>
      <w:t>202</w:t>
    </w:r>
    <w:r w:rsidR="00B66E3E" w:rsidRPr="00397BCB">
      <w:rPr>
        <w:color w:val="auto"/>
        <w:lang w:val="fi-FI"/>
      </w:rPr>
      <w:t>1</w:t>
    </w:r>
  </w:p>
  <w:p w:rsidR="00210D2C" w:rsidRPr="00C72E35" w:rsidRDefault="00AB14C8" w:rsidP="00AB14C8">
    <w:pPr>
      <w:pStyle w:val="Yltunniste"/>
      <w:tabs>
        <w:tab w:val="clear" w:pos="4819"/>
        <w:tab w:val="clear" w:pos="9638"/>
        <w:tab w:val="left" w:pos="5480"/>
      </w:tabs>
      <w:rPr>
        <w:color w:val="auto"/>
        <w:lang w:val="fi-FI"/>
      </w:rPr>
    </w:pPr>
    <w:r w:rsidRPr="00C72E35">
      <w:rPr>
        <w:color w:val="auto"/>
        <w:lang w:val="fi-FI"/>
      </w:rPr>
      <w:tab/>
    </w:r>
    <w:r w:rsidR="00052C36" w:rsidRPr="00C72E35">
      <w:rPr>
        <w:color w:val="auto"/>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52C36"/>
    <w:rsid w:val="00053BA8"/>
    <w:rsid w:val="00054D27"/>
    <w:rsid w:val="00065071"/>
    <w:rsid w:val="00081A7B"/>
    <w:rsid w:val="00090438"/>
    <w:rsid w:val="00091FFF"/>
    <w:rsid w:val="000A73CB"/>
    <w:rsid w:val="000C7B40"/>
    <w:rsid w:val="000E671A"/>
    <w:rsid w:val="000F3004"/>
    <w:rsid w:val="001018E4"/>
    <w:rsid w:val="001212FF"/>
    <w:rsid w:val="001213BE"/>
    <w:rsid w:val="00124FF3"/>
    <w:rsid w:val="001279E8"/>
    <w:rsid w:val="00135FFD"/>
    <w:rsid w:val="00136334"/>
    <w:rsid w:val="0014734B"/>
    <w:rsid w:val="001660A0"/>
    <w:rsid w:val="001665DB"/>
    <w:rsid w:val="001820BA"/>
    <w:rsid w:val="00186380"/>
    <w:rsid w:val="001A1058"/>
    <w:rsid w:val="001A77F8"/>
    <w:rsid w:val="001F03A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7F13"/>
    <w:rsid w:val="003419B0"/>
    <w:rsid w:val="00371918"/>
    <w:rsid w:val="00380EB8"/>
    <w:rsid w:val="0038296F"/>
    <w:rsid w:val="00386750"/>
    <w:rsid w:val="00387A7A"/>
    <w:rsid w:val="00397BCB"/>
    <w:rsid w:val="003F1760"/>
    <w:rsid w:val="003F7211"/>
    <w:rsid w:val="004012E6"/>
    <w:rsid w:val="004028E0"/>
    <w:rsid w:val="00403DCB"/>
    <w:rsid w:val="00432CCB"/>
    <w:rsid w:val="00441C26"/>
    <w:rsid w:val="00451AFF"/>
    <w:rsid w:val="0045296D"/>
    <w:rsid w:val="00456811"/>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3653"/>
    <w:rsid w:val="009841DC"/>
    <w:rsid w:val="009A767E"/>
    <w:rsid w:val="009B3F61"/>
    <w:rsid w:val="009B68F6"/>
    <w:rsid w:val="009C528B"/>
    <w:rsid w:val="009D10AC"/>
    <w:rsid w:val="00A0045B"/>
    <w:rsid w:val="00A1125E"/>
    <w:rsid w:val="00A22136"/>
    <w:rsid w:val="00A41E21"/>
    <w:rsid w:val="00A437B4"/>
    <w:rsid w:val="00A624A7"/>
    <w:rsid w:val="00AA767C"/>
    <w:rsid w:val="00AB14C8"/>
    <w:rsid w:val="00AC1747"/>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72E35"/>
    <w:rsid w:val="00C77461"/>
    <w:rsid w:val="00C83653"/>
    <w:rsid w:val="00C90130"/>
    <w:rsid w:val="00CA35AF"/>
    <w:rsid w:val="00CC3B70"/>
    <w:rsid w:val="00CD07DA"/>
    <w:rsid w:val="00CD3DD6"/>
    <w:rsid w:val="00D177F6"/>
    <w:rsid w:val="00D37899"/>
    <w:rsid w:val="00D50AB3"/>
    <w:rsid w:val="00D527E3"/>
    <w:rsid w:val="00D607A8"/>
    <w:rsid w:val="00D62B7E"/>
    <w:rsid w:val="00DA46F0"/>
    <w:rsid w:val="00DA79FF"/>
    <w:rsid w:val="00DB7E4B"/>
    <w:rsid w:val="00DC27B3"/>
    <w:rsid w:val="00DF11C3"/>
    <w:rsid w:val="00E010F7"/>
    <w:rsid w:val="00E0446A"/>
    <w:rsid w:val="00E13907"/>
    <w:rsid w:val="00E21108"/>
    <w:rsid w:val="00E3311F"/>
    <w:rsid w:val="00E5630E"/>
    <w:rsid w:val="00E7485B"/>
    <w:rsid w:val="00E831D5"/>
    <w:rsid w:val="00E93F9C"/>
    <w:rsid w:val="00E9566E"/>
    <w:rsid w:val="00E97B37"/>
    <w:rsid w:val="00EC01CC"/>
    <w:rsid w:val="00F25C43"/>
    <w:rsid w:val="00F42DEA"/>
    <w:rsid w:val="00F435D2"/>
    <w:rsid w:val="00F4383D"/>
    <w:rsid w:val="00F519FD"/>
    <w:rsid w:val="00F576FC"/>
    <w:rsid w:val="00F625C8"/>
    <w:rsid w:val="00F827B0"/>
    <w:rsid w:val="00FB76B8"/>
    <w:rsid w:val="00FD56EB"/>
    <w:rsid w:val="00FD6C1E"/>
    <w:rsid w:val="00FE4FEF"/>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17/2017024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269B-7E7C-4FF5-824F-6ECA36E8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7131</Characters>
  <Application>Microsoft Office Word</Application>
  <DocSecurity>0</DocSecurity>
  <Lines>59</Lines>
  <Paragraphs>15</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2</cp:revision>
  <cp:lastPrinted>2018-03-02T06:56:00Z</cp:lastPrinted>
  <dcterms:created xsi:type="dcterms:W3CDTF">2021-05-06T05:34:00Z</dcterms:created>
  <dcterms:modified xsi:type="dcterms:W3CDTF">2021-05-06T05:34:00Z</dcterms:modified>
</cp:coreProperties>
</file>