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86" w:rsidRDefault="00963986" w:rsidP="00324F0D">
      <w:pPr>
        <w:rPr>
          <w:b/>
          <w:bCs/>
        </w:rPr>
      </w:pPr>
      <w:bookmarkStart w:id="0" w:name="_GoBack"/>
      <w:bookmarkEnd w:id="0"/>
      <w:r>
        <w:rPr>
          <w:b/>
          <w:bCs/>
        </w:rPr>
        <w:t>VAMMAISTEN HENKILÖIDEN OIKEUKSIEN NEUVOTTELUKUNTA</w:t>
      </w:r>
    </w:p>
    <w:p w:rsidR="00963986" w:rsidRDefault="00963986" w:rsidP="00324F0D">
      <w:pPr>
        <w:rPr>
          <w:b/>
          <w:bCs/>
        </w:rPr>
      </w:pPr>
      <w:r>
        <w:rPr>
          <w:b/>
          <w:bCs/>
        </w:rPr>
        <w:t>25.8.2017</w:t>
      </w:r>
    </w:p>
    <w:p w:rsidR="00963986" w:rsidRDefault="00963986" w:rsidP="00324F0D">
      <w:pPr>
        <w:rPr>
          <w:b/>
          <w:bCs/>
        </w:rPr>
      </w:pPr>
    </w:p>
    <w:p w:rsidR="00963986" w:rsidRDefault="00963986" w:rsidP="00324F0D">
      <w:pPr>
        <w:rPr>
          <w:b/>
          <w:bCs/>
        </w:rPr>
      </w:pPr>
    </w:p>
    <w:p w:rsidR="00324F0D" w:rsidRDefault="00963986" w:rsidP="00324F0D">
      <w:pPr>
        <w:rPr>
          <w:b/>
          <w:bCs/>
        </w:rPr>
      </w:pPr>
      <w:r>
        <w:rPr>
          <w:b/>
          <w:bCs/>
        </w:rPr>
        <w:t>Väliraportti: Saavutettavuusdirektiivin kansallinen säädösvalmistelu/webropol-kysely</w:t>
      </w:r>
    </w:p>
    <w:p w:rsidR="00963986" w:rsidRDefault="00963986" w:rsidP="00324F0D">
      <w:pPr>
        <w:rPr>
          <w:b/>
          <w:bCs/>
        </w:rPr>
      </w:pPr>
    </w:p>
    <w:p w:rsidR="00963986" w:rsidRDefault="00963986" w:rsidP="00324F0D">
      <w:pPr>
        <w:rPr>
          <w:b/>
          <w:bCs/>
        </w:rPr>
      </w:pPr>
    </w:p>
    <w:p w:rsidR="00324F0D" w:rsidRDefault="00963986" w:rsidP="00324F0D">
      <w:pPr>
        <w:rPr>
          <w:b/>
          <w:bCs/>
        </w:rPr>
      </w:pPr>
      <w:r>
        <w:rPr>
          <w:b/>
          <w:bCs/>
        </w:rPr>
        <w:t>VANEn k</w:t>
      </w:r>
      <w:r w:rsidR="00324F0D">
        <w:rPr>
          <w:b/>
          <w:bCs/>
        </w:rPr>
        <w:t>ommentit lähtökohdista 5.1</w:t>
      </w:r>
    </w:p>
    <w:p w:rsidR="00324F0D" w:rsidRDefault="00324F0D" w:rsidP="00324F0D"/>
    <w:p w:rsidR="00324F0D" w:rsidRDefault="00324F0D" w:rsidP="00324F0D">
      <w:r>
        <w:t xml:space="preserve">VANE lausuu väliraportista ensisijassa vammaisten YK-sopimuksen näkökulmasta. VANE pitää esitettyjä lähtökohtia kannatettavina. Oma sääntely ja se, että valmistaudutaan myös myöhemmän esteettömyyssääntelyn sisällyttämiseen samaan sääntelyyn, myös viranomaisten tehtävien osalta on linjassa YK-sopimuksen kanssa (esim. artiklat 5 Tasa-arvo ja yhdenvertaisuus, 9 Esteettömyys ja saavutettavuus ja 13 Oikeussuojan saavutettavuus). </w:t>
      </w:r>
    </w:p>
    <w:p w:rsidR="00324F0D" w:rsidRDefault="00324F0D" w:rsidP="00324F0D"/>
    <w:p w:rsidR="00324F0D" w:rsidRDefault="00324F0D" w:rsidP="00324F0D">
      <w:pPr>
        <w:rPr>
          <w:b/>
          <w:bCs/>
        </w:rPr>
      </w:pPr>
      <w:r>
        <w:rPr>
          <w:b/>
          <w:bCs/>
        </w:rPr>
        <w:t>Soveltamisalasta 5.2</w:t>
      </w:r>
    </w:p>
    <w:p w:rsidR="00324F0D" w:rsidRDefault="00324F0D" w:rsidP="00324F0D"/>
    <w:p w:rsidR="00324F0D" w:rsidRDefault="00324F0D" w:rsidP="00324F0D">
      <w:r>
        <w:t>VANE pitää esitettyä laajennettua soveltamisalaa ja perusoikeuspohjaista perustelua kannatettavana. Vammaisten ihmisten kannalta on ratkaisevaa nimenomaan palvelun luonne ja siksi esimerkiksi pankkipalvelujen ja sähköisen tunnistautumisen mukaan ottaminen on erittäin tärkeää vammaisten ihmisten arjen sujumisen ja yhdenvertaisten oikeuksien toteutumisen kannalta. Pankkipalvelujen lisäksi soveltamisalan tulisi kattaa kaikki maksupalveluita tarjoavat tahot. Kannatettava ehdotus on myös valtionavustuksiin liittyvä kirjaus. VANE haluaa myös muistuttaa, että siinä vaiheessa, kun mahdollinen esteettömyysdirektiivin sääntely tulee lisättäväksi, on varmistettava, että mm. soveltamisala muodostaa helposti hahmotettavan kokonaisuuden.</w:t>
      </w:r>
    </w:p>
    <w:p w:rsidR="00324F0D" w:rsidRDefault="00324F0D" w:rsidP="00324F0D"/>
    <w:p w:rsidR="00324F0D" w:rsidRDefault="00324F0D" w:rsidP="00324F0D"/>
    <w:p w:rsidR="00324F0D" w:rsidRDefault="00324F0D" w:rsidP="00324F0D">
      <w:pPr>
        <w:rPr>
          <w:b/>
          <w:bCs/>
        </w:rPr>
      </w:pPr>
      <w:r>
        <w:rPr>
          <w:b/>
          <w:bCs/>
        </w:rPr>
        <w:t>Valvontaa ja oikeussuojaa koskevista linjauksista 5.3</w:t>
      </w:r>
    </w:p>
    <w:p w:rsidR="00324F0D" w:rsidRDefault="00324F0D" w:rsidP="00324F0D"/>
    <w:p w:rsidR="00324F0D" w:rsidRDefault="00324F0D" w:rsidP="00324F0D">
      <w:r>
        <w:t>VANE katsoo, että työryhmä on huolellisesti selvittänyt olemassa olevat vaihtoehdot valvonta ja raportointitehtävien osalta ja ottanut perusteluissaan huomioon YK:n vammaissopimuksen ja sitä koskevat yleiskommentit.</w:t>
      </w:r>
    </w:p>
    <w:p w:rsidR="00324F0D" w:rsidRDefault="00324F0D" w:rsidP="00324F0D"/>
    <w:p w:rsidR="00324F0D" w:rsidRDefault="00324F0D" w:rsidP="00324F0D"/>
    <w:p w:rsidR="00324F0D" w:rsidRDefault="00324F0D" w:rsidP="00324F0D">
      <w:pPr>
        <w:rPr>
          <w:b/>
          <w:bCs/>
        </w:rPr>
      </w:pPr>
      <w:r>
        <w:rPr>
          <w:b/>
          <w:bCs/>
        </w:rPr>
        <w:t>Muut 5.4 ja 5.4.1, 5.4.2 ja 5.4.3</w:t>
      </w:r>
    </w:p>
    <w:p w:rsidR="00324F0D" w:rsidRDefault="00324F0D" w:rsidP="00324F0D"/>
    <w:p w:rsidR="00324F0D" w:rsidRDefault="00324F0D" w:rsidP="00324F0D">
      <w:r>
        <w:t>VANE haluaa muistuttaa, että direktiivin voimaantuloajat ovat melko pitkiä ja siksi kohtuuttoman rasitteen -tulkinnan tulisi olla tiukka. Kyse on myös YK-sopimuksen artiklan 9 implementoinnista ja että sopimuksen mukaan rinnasteisen kohtuullisen mukautuksen epääminen katsotaan syrjinnäksi. Ehdotettuja vastausaikoja VANE pitää kannatettavana.</w:t>
      </w:r>
    </w:p>
    <w:p w:rsidR="00324F0D" w:rsidRDefault="00324F0D" w:rsidP="00324F0D"/>
    <w:p w:rsidR="00324F0D" w:rsidRDefault="00324F0D" w:rsidP="00324F0D"/>
    <w:p w:rsidR="00324F0D" w:rsidRDefault="00324F0D" w:rsidP="00324F0D">
      <w:pPr>
        <w:rPr>
          <w:b/>
          <w:bCs/>
        </w:rPr>
      </w:pPr>
      <w:r>
        <w:rPr>
          <w:b/>
          <w:bCs/>
        </w:rPr>
        <w:t>Keinot 5.5</w:t>
      </w:r>
    </w:p>
    <w:p w:rsidR="00324F0D" w:rsidRDefault="00324F0D" w:rsidP="00324F0D"/>
    <w:p w:rsidR="00324F0D" w:rsidRDefault="00324F0D" w:rsidP="00324F0D">
      <w:r>
        <w:t>VANE pitää esitettyjä keinoja kannatettavina. VANE katsoo esitetyn sidosryhmäyhteistyön sopivan hyvin VANEn tehtäviin. Näin edistetään erityisesti YK-sopimuksen artiklan 4 mukaista osallisuutta.</w:t>
      </w:r>
    </w:p>
    <w:p w:rsidR="00324F0D" w:rsidRDefault="00324F0D" w:rsidP="00324F0D"/>
    <w:p w:rsidR="00324F0D" w:rsidRDefault="00324F0D" w:rsidP="00324F0D"/>
    <w:p w:rsidR="00324F0D" w:rsidRDefault="00324F0D" w:rsidP="00324F0D">
      <w:pPr>
        <w:rPr>
          <w:b/>
          <w:bCs/>
        </w:rPr>
      </w:pPr>
      <w:r>
        <w:rPr>
          <w:b/>
          <w:bCs/>
        </w:rPr>
        <w:t>Muista luvuista</w:t>
      </w:r>
    </w:p>
    <w:p w:rsidR="00324F0D" w:rsidRDefault="00324F0D" w:rsidP="00324F0D">
      <w:r>
        <w:t>-</w:t>
      </w:r>
    </w:p>
    <w:p w:rsidR="00324F0D" w:rsidRDefault="00324F0D" w:rsidP="00324F0D"/>
    <w:p w:rsidR="00324F0D" w:rsidRDefault="00324F0D" w:rsidP="00324F0D">
      <w:pPr>
        <w:rPr>
          <w:sz w:val="24"/>
          <w:szCs w:val="24"/>
        </w:rPr>
      </w:pPr>
    </w:p>
    <w:p w:rsidR="00324F0D" w:rsidRDefault="00324F0D" w:rsidP="00324F0D">
      <w:pPr>
        <w:rPr>
          <w:sz w:val="24"/>
          <w:szCs w:val="24"/>
        </w:rPr>
      </w:pPr>
    </w:p>
    <w:p w:rsidR="00324F0D" w:rsidRDefault="00963986" w:rsidP="00324F0D">
      <w:r>
        <w:t>Merja Heikkonen</w:t>
      </w:r>
    </w:p>
    <w:p w:rsidR="00963986" w:rsidRDefault="00963986" w:rsidP="00324F0D">
      <w:r>
        <w:t>pääsihteeri</w:t>
      </w:r>
    </w:p>
    <w:p w:rsidR="00963986" w:rsidRDefault="00963986" w:rsidP="00324F0D"/>
    <w:sectPr w:rsidR="0096398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BF" w:rsidRDefault="00B357BF" w:rsidP="00B357BF">
      <w:r>
        <w:separator/>
      </w:r>
    </w:p>
  </w:endnote>
  <w:endnote w:type="continuationSeparator" w:id="0">
    <w:p w:rsidR="00B357BF" w:rsidRDefault="00B357BF" w:rsidP="00B3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BF" w:rsidRDefault="00B357BF" w:rsidP="00B357BF">
      <w:r>
        <w:separator/>
      </w:r>
    </w:p>
  </w:footnote>
  <w:footnote w:type="continuationSeparator" w:id="0">
    <w:p w:rsidR="00B357BF" w:rsidRDefault="00B357BF" w:rsidP="00B35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BF"/>
    <w:rsid w:val="000278CB"/>
    <w:rsid w:val="000B4A91"/>
    <w:rsid w:val="00180EB3"/>
    <w:rsid w:val="002F0F01"/>
    <w:rsid w:val="00324F0D"/>
    <w:rsid w:val="003E7965"/>
    <w:rsid w:val="007A4DC9"/>
    <w:rsid w:val="00806686"/>
    <w:rsid w:val="008D5508"/>
    <w:rsid w:val="009559B8"/>
    <w:rsid w:val="00963986"/>
    <w:rsid w:val="00970CA4"/>
    <w:rsid w:val="00B218A1"/>
    <w:rsid w:val="00B357BF"/>
    <w:rsid w:val="00B96FE2"/>
    <w:rsid w:val="00BB223F"/>
    <w:rsid w:val="00C27B82"/>
    <w:rsid w:val="00D078CB"/>
    <w:rsid w:val="00EE39A7"/>
    <w:rsid w:val="00FA47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24F0D"/>
    <w:rPr>
      <w:rFonts w:ascii="Calibri" w:eastAsiaTheme="minorHAnsi" w:hAnsi="Calibri"/>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357BF"/>
    <w:pPr>
      <w:tabs>
        <w:tab w:val="center" w:pos="4819"/>
        <w:tab w:val="right" w:pos="9638"/>
      </w:tabs>
    </w:pPr>
    <w:rPr>
      <w:rFonts w:ascii="Times New Roman" w:eastAsia="Times New Roman" w:hAnsi="Times New Roman"/>
      <w:sz w:val="24"/>
      <w:szCs w:val="24"/>
      <w:lang w:eastAsia="fi-FI"/>
    </w:rPr>
  </w:style>
  <w:style w:type="character" w:customStyle="1" w:styleId="YltunnisteChar">
    <w:name w:val="Ylätunniste Char"/>
    <w:basedOn w:val="Kappaleenoletusfontti"/>
    <w:link w:val="Yltunniste"/>
    <w:uiPriority w:val="99"/>
    <w:rsid w:val="00B357BF"/>
    <w:rPr>
      <w:sz w:val="24"/>
      <w:szCs w:val="24"/>
    </w:rPr>
  </w:style>
  <w:style w:type="paragraph" w:styleId="Alatunniste">
    <w:name w:val="footer"/>
    <w:basedOn w:val="Normaali"/>
    <w:link w:val="AlatunnisteChar"/>
    <w:uiPriority w:val="99"/>
    <w:unhideWhenUsed/>
    <w:rsid w:val="00B357BF"/>
    <w:pPr>
      <w:tabs>
        <w:tab w:val="center" w:pos="4819"/>
        <w:tab w:val="right" w:pos="9638"/>
      </w:tabs>
    </w:pPr>
    <w:rPr>
      <w:rFonts w:ascii="Times New Roman" w:eastAsia="Times New Roman" w:hAnsi="Times New Roman"/>
      <w:sz w:val="24"/>
      <w:szCs w:val="24"/>
      <w:lang w:eastAsia="fi-FI"/>
    </w:rPr>
  </w:style>
  <w:style w:type="character" w:customStyle="1" w:styleId="AlatunnisteChar">
    <w:name w:val="Alatunniste Char"/>
    <w:basedOn w:val="Kappaleenoletusfontti"/>
    <w:link w:val="Alatunniste"/>
    <w:uiPriority w:val="99"/>
    <w:rsid w:val="00B357BF"/>
    <w:rPr>
      <w:sz w:val="24"/>
      <w:szCs w:val="24"/>
    </w:rPr>
  </w:style>
  <w:style w:type="character" w:styleId="Hyperlinkki">
    <w:name w:val="Hyperlink"/>
    <w:basedOn w:val="Kappaleenoletusfontti"/>
    <w:uiPriority w:val="99"/>
    <w:semiHidden/>
    <w:unhideWhenUsed/>
    <w:rsid w:val="00324F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24F0D"/>
    <w:rPr>
      <w:rFonts w:ascii="Calibri" w:eastAsiaTheme="minorHAnsi" w:hAnsi="Calibri"/>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357BF"/>
    <w:pPr>
      <w:tabs>
        <w:tab w:val="center" w:pos="4819"/>
        <w:tab w:val="right" w:pos="9638"/>
      </w:tabs>
    </w:pPr>
    <w:rPr>
      <w:rFonts w:ascii="Times New Roman" w:eastAsia="Times New Roman" w:hAnsi="Times New Roman"/>
      <w:sz w:val="24"/>
      <w:szCs w:val="24"/>
      <w:lang w:eastAsia="fi-FI"/>
    </w:rPr>
  </w:style>
  <w:style w:type="character" w:customStyle="1" w:styleId="YltunnisteChar">
    <w:name w:val="Ylätunniste Char"/>
    <w:basedOn w:val="Kappaleenoletusfontti"/>
    <w:link w:val="Yltunniste"/>
    <w:uiPriority w:val="99"/>
    <w:rsid w:val="00B357BF"/>
    <w:rPr>
      <w:sz w:val="24"/>
      <w:szCs w:val="24"/>
    </w:rPr>
  </w:style>
  <w:style w:type="paragraph" w:styleId="Alatunniste">
    <w:name w:val="footer"/>
    <w:basedOn w:val="Normaali"/>
    <w:link w:val="AlatunnisteChar"/>
    <w:uiPriority w:val="99"/>
    <w:unhideWhenUsed/>
    <w:rsid w:val="00B357BF"/>
    <w:pPr>
      <w:tabs>
        <w:tab w:val="center" w:pos="4819"/>
        <w:tab w:val="right" w:pos="9638"/>
      </w:tabs>
    </w:pPr>
    <w:rPr>
      <w:rFonts w:ascii="Times New Roman" w:eastAsia="Times New Roman" w:hAnsi="Times New Roman"/>
      <w:sz w:val="24"/>
      <w:szCs w:val="24"/>
      <w:lang w:eastAsia="fi-FI"/>
    </w:rPr>
  </w:style>
  <w:style w:type="character" w:customStyle="1" w:styleId="AlatunnisteChar">
    <w:name w:val="Alatunniste Char"/>
    <w:basedOn w:val="Kappaleenoletusfontti"/>
    <w:link w:val="Alatunniste"/>
    <w:uiPriority w:val="99"/>
    <w:rsid w:val="00B357BF"/>
    <w:rPr>
      <w:sz w:val="24"/>
      <w:szCs w:val="24"/>
    </w:rPr>
  </w:style>
  <w:style w:type="character" w:styleId="Hyperlinkki">
    <w:name w:val="Hyperlink"/>
    <w:basedOn w:val="Kappaleenoletusfontti"/>
    <w:uiPriority w:val="99"/>
    <w:semiHidden/>
    <w:unhideWhenUsed/>
    <w:rsid w:val="00324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2043</Characters>
  <Application>Microsoft Office Word</Application>
  <DocSecurity>4</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Heikkonen Merja STM</dc:creator>
  <cp:lastModifiedBy>Hoffrén Tea STM</cp:lastModifiedBy>
  <cp:revision>2</cp:revision>
  <dcterms:created xsi:type="dcterms:W3CDTF">2017-08-29T09:29:00Z</dcterms:created>
  <dcterms:modified xsi:type="dcterms:W3CDTF">2017-08-29T09:29:00Z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745840975</vt:i4>
  </property>
  <property fmtid="{D5CDD505-2E9C-101B-9397-08002B2CF9AE}" pid="3" name="_NewReviewCycle">
    <vt:lpwstr/>
  </property>
  <property fmtid="{D5CDD505-2E9C-101B-9397-08002B2CF9AE}" pid="4" name="_EmailSubject">
    <vt:lpwstr>arkistoon ja sivuille</vt:lpwstr>
  </property>
  <property fmtid="{D5CDD505-2E9C-101B-9397-08002B2CF9AE}" pid="5" name="_AuthorEmail">
    <vt:lpwstr>merja.heikkonen@stm.fi</vt:lpwstr>
  </property>
  <property fmtid="{D5CDD505-2E9C-101B-9397-08002B2CF9AE}" pid="6" name="_AuthorEmailDisplayName">
    <vt:lpwstr>Heikkonen Merja (STM)</vt:lpwstr>
  </property>
  <property fmtid="{D5CDD505-2E9C-101B-9397-08002B2CF9AE}" pid="7" name="_ReviewingToolsShownOnce">
    <vt:lpwstr/>
  </property>
</Properties>
</file>