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FF" w:rsidRDefault="001212FF" w:rsidP="00E21108">
      <w:pPr>
        <w:ind w:left="0"/>
        <w:jc w:val="both"/>
        <w:rPr>
          <w:sz w:val="24"/>
          <w:lang w:val="fi-FI"/>
        </w:rPr>
      </w:pPr>
    </w:p>
    <w:p w:rsidR="00055D7D" w:rsidRPr="00055D7D" w:rsidRDefault="00055D7D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r w:rsidRPr="00055D7D">
        <w:rPr>
          <w:rFonts w:ascii="Calibri" w:eastAsia="Times New Roman" w:hAnsi="Calibri" w:cs="Calibri"/>
          <w:b/>
          <w:color w:val="auto"/>
          <w:sz w:val="24"/>
          <w:lang w:val="fi-FI"/>
        </w:rPr>
        <w:t>Lausunto</w:t>
      </w:r>
      <w:r w:rsidRPr="00055D7D">
        <w:rPr>
          <w:rFonts w:ascii="Calibri" w:eastAsia="Times New Roman" w:hAnsi="Calibri" w:cs="Calibri"/>
          <w:b/>
          <w:color w:val="auto"/>
          <w:sz w:val="24"/>
          <w:lang w:val="fi-FI"/>
        </w:rPr>
        <w:tab/>
      </w:r>
      <w:r w:rsidRPr="00055D7D">
        <w:rPr>
          <w:rFonts w:ascii="Calibri" w:eastAsia="Times New Roman" w:hAnsi="Calibri" w:cs="Calibri"/>
          <w:b/>
          <w:color w:val="auto"/>
          <w:sz w:val="24"/>
          <w:lang w:val="fi-FI"/>
        </w:rPr>
        <w:tab/>
      </w:r>
      <w:r w:rsidRPr="00055D7D">
        <w:rPr>
          <w:rFonts w:ascii="Calibri" w:eastAsia="Times New Roman" w:hAnsi="Calibri" w:cs="Calibri"/>
          <w:b/>
          <w:color w:val="auto"/>
          <w:sz w:val="24"/>
          <w:lang w:val="fi-FI"/>
        </w:rPr>
        <w:tab/>
      </w:r>
      <w:r w:rsidRPr="00055D7D">
        <w:rPr>
          <w:rFonts w:ascii="Calibri" w:eastAsia="Times New Roman" w:hAnsi="Calibri" w:cs="Calibri"/>
          <w:b/>
          <w:color w:val="auto"/>
          <w:sz w:val="24"/>
          <w:lang w:val="fi-FI"/>
        </w:rPr>
        <w:tab/>
      </w:r>
      <w:r w:rsidRPr="00055D7D">
        <w:rPr>
          <w:rFonts w:ascii="Calibri" w:eastAsia="Times New Roman" w:hAnsi="Calibri" w:cs="Calibri"/>
          <w:b/>
          <w:color w:val="auto"/>
          <w:sz w:val="24"/>
          <w:lang w:val="fi-FI"/>
        </w:rPr>
        <w:tab/>
      </w:r>
      <w:r w:rsidRPr="00055D7D">
        <w:rPr>
          <w:rFonts w:ascii="Calibri" w:eastAsia="Times New Roman" w:hAnsi="Calibri" w:cs="Calibri"/>
          <w:b/>
          <w:color w:val="auto"/>
          <w:sz w:val="24"/>
          <w:lang w:val="fi-FI"/>
        </w:rPr>
        <w:tab/>
      </w:r>
    </w:p>
    <w:p w:rsidR="00055D7D" w:rsidRPr="00055D7D" w:rsidRDefault="00055D7D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</w:p>
    <w:p w:rsidR="00055D7D" w:rsidRDefault="00055D7D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r w:rsidRPr="00055D7D">
        <w:rPr>
          <w:rFonts w:ascii="Calibri" w:eastAsia="Times New Roman" w:hAnsi="Calibri" w:cs="Calibri"/>
          <w:color w:val="auto"/>
          <w:sz w:val="24"/>
          <w:lang w:val="fi-FI"/>
        </w:rPr>
        <w:t>Vammaisten henkilöiden oikeuksien neuvottelukunta VANE</w:t>
      </w:r>
    </w:p>
    <w:p w:rsidR="004F5EBC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</w:p>
    <w:p w:rsidR="004F5EBC" w:rsidRDefault="004F5EBC" w:rsidP="004F5EBC">
      <w:pPr>
        <w:tabs>
          <w:tab w:val="left" w:pos="3305"/>
        </w:tabs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proofErr w:type="spellStart"/>
      <w:r>
        <w:rPr>
          <w:rFonts w:ascii="Calibri" w:eastAsia="Times New Roman" w:hAnsi="Calibri" w:cs="Calibri"/>
          <w:color w:val="auto"/>
          <w:sz w:val="24"/>
          <w:lang w:val="fi-FI"/>
        </w:rPr>
        <w:t>Sosiaali</w:t>
      </w:r>
      <w:proofErr w:type="spellEnd"/>
      <w:r>
        <w:rPr>
          <w:rFonts w:ascii="Calibri" w:eastAsia="Times New Roman" w:hAnsi="Calibri" w:cs="Calibri"/>
          <w:color w:val="auto"/>
          <w:sz w:val="24"/>
          <w:lang w:val="fi-FI"/>
        </w:rPr>
        <w:t>- ja terveysministeriö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</w:p>
    <w:p w:rsidR="004F5EBC" w:rsidRPr="00055D7D" w:rsidRDefault="004F5EBC" w:rsidP="004F5EBC">
      <w:pPr>
        <w:tabs>
          <w:tab w:val="left" w:pos="3305"/>
        </w:tabs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r>
        <w:rPr>
          <w:rFonts w:ascii="Calibri" w:eastAsia="Times New Roman" w:hAnsi="Calibri" w:cs="Calibri"/>
          <w:color w:val="auto"/>
          <w:sz w:val="24"/>
          <w:lang w:val="fi-FI"/>
        </w:rPr>
        <w:t>kirjaamo@stm.fi</w:t>
      </w:r>
    </w:p>
    <w:p w:rsidR="00055D7D" w:rsidRPr="00055D7D" w:rsidRDefault="00055D7D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</w:p>
    <w:p w:rsidR="004F5EBC" w:rsidRPr="004F5EBC" w:rsidRDefault="004F5EBC" w:rsidP="004F5EBC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>Asia: Luonnos hallituksen esitykseksi eduskunnalle potilasvakuutuslain ja eräiden siihen liittyvien lakien muuttamiseksi</w:t>
      </w:r>
    </w:p>
    <w:p w:rsidR="00055D7D" w:rsidRPr="00055D7D" w:rsidRDefault="004F5EBC" w:rsidP="004F5EBC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>Viite: VN/790/2020</w:t>
      </w:r>
    </w:p>
    <w:p w:rsidR="004F5EBC" w:rsidRDefault="004F5EBC" w:rsidP="00055D7D">
      <w:pPr>
        <w:spacing w:after="0" w:line="240" w:lineRule="auto"/>
        <w:ind w:left="1304"/>
        <w:rPr>
          <w:rFonts w:ascii="Calibri" w:eastAsia="Times New Roman" w:hAnsi="Calibri" w:cs="Calibri"/>
          <w:color w:val="auto"/>
          <w:sz w:val="24"/>
          <w:lang w:val="fi-FI"/>
        </w:rPr>
      </w:pPr>
    </w:p>
    <w:p w:rsidR="00055D7D" w:rsidRPr="00055D7D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>Vammaisten henkilöiden oikeuksien neuvot</w:t>
      </w:r>
      <w:r>
        <w:rPr>
          <w:rFonts w:ascii="Calibri" w:eastAsia="Times New Roman" w:hAnsi="Calibri" w:cs="Calibri"/>
          <w:color w:val="auto"/>
          <w:sz w:val="24"/>
          <w:lang w:val="fi-FI"/>
        </w:rPr>
        <w:t>telukunta VANE kiittää mahdolli</w:t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suudesta 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lausua asiasta. VANE on YK:n vammaisten henkilöiden oikeuksien yleissopimuksen 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>(</w:t>
      </w:r>
      <w:proofErr w:type="spellStart"/>
      <w:r w:rsidRPr="004F5EBC">
        <w:rPr>
          <w:rFonts w:ascii="Calibri" w:eastAsia="Times New Roman" w:hAnsi="Calibri" w:cs="Calibri"/>
          <w:color w:val="auto"/>
          <w:sz w:val="24"/>
          <w:lang w:val="fi-FI"/>
        </w:rPr>
        <w:t>SopS</w:t>
      </w:r>
      <w:proofErr w:type="spellEnd"/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 27/2016; vammaisylei</w:t>
      </w:r>
      <w:r>
        <w:rPr>
          <w:rFonts w:ascii="Calibri" w:eastAsia="Times New Roman" w:hAnsi="Calibri" w:cs="Calibri"/>
          <w:color w:val="auto"/>
          <w:sz w:val="24"/>
          <w:lang w:val="fi-FI"/>
        </w:rPr>
        <w:t>ssopimus) kansallinen koordinaa</w:t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tiomekanismi. VANE 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>ottaa lausunnossaan</w:t>
      </w:r>
      <w:r>
        <w:rPr>
          <w:rFonts w:ascii="Calibri" w:eastAsia="Times New Roman" w:hAnsi="Calibri" w:cs="Calibri"/>
          <w:color w:val="auto"/>
          <w:sz w:val="24"/>
          <w:lang w:val="fi-FI"/>
        </w:rPr>
        <w:t xml:space="preserve"> kantaa asiaan vammaisyleissopimuksen näkökulmasta. 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>Vammaisyleissopim</w:t>
      </w:r>
      <w:r>
        <w:rPr>
          <w:rFonts w:ascii="Calibri" w:eastAsia="Times New Roman" w:hAnsi="Calibri" w:cs="Calibri"/>
          <w:color w:val="auto"/>
          <w:sz w:val="24"/>
          <w:lang w:val="fi-FI"/>
        </w:rPr>
        <w:t>us on Suomessa voimassa lain ta</w:t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>soisena.</w:t>
      </w:r>
    </w:p>
    <w:p w:rsidR="00055D7D" w:rsidRDefault="004F5EBC" w:rsidP="004F5EBC">
      <w:pPr>
        <w:spacing w:after="0" w:line="240" w:lineRule="auto"/>
        <w:ind w:left="0"/>
        <w:rPr>
          <w:rFonts w:ascii="Calibri" w:eastAsia="Times New Roman" w:hAnsi="Calibri" w:cs="Calibri"/>
          <w:i/>
          <w:color w:val="auto"/>
          <w:sz w:val="24"/>
          <w:lang w:val="fi-FI"/>
        </w:rPr>
      </w:pPr>
      <w:r>
        <w:rPr>
          <w:rFonts w:ascii="Calibri" w:eastAsia="Times New Roman" w:hAnsi="Calibri" w:cs="Calibri"/>
          <w:i/>
          <w:color w:val="auto"/>
          <w:sz w:val="24"/>
          <w:lang w:val="fi-FI"/>
        </w:rPr>
        <w:tab/>
      </w:r>
    </w:p>
    <w:p w:rsidR="00055D7D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r>
        <w:rPr>
          <w:rFonts w:ascii="Calibri" w:eastAsia="Times New Roman" w:hAnsi="Calibri" w:cs="Calibri"/>
          <w:i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VANE pitää tehtyä esitystä kannatettavana ja vammaisyleissopimuksen tavoitteita </w:t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ab/>
        <w:t xml:space="preserve">edistävänä. Esitettyä luonnosta vammaisyleissopimuksessa koskee erityisesti riittävää </w:t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ab/>
        <w:t xml:space="preserve">elintasoa ja sosiaaliturvaa (art. 28) käsittelevä artikla.  Artiklassa todetaan muun </w:t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ab/>
        <w:t xml:space="preserve">muassa: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 xml:space="preserve">”2. Sopimuspuolet tunnustavat vammaisten henkilöiden oikeuden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 xml:space="preserve">sosiaaliturvaan ja tämän oikeuden nauttimiseen ilman syrjintää vammaisuuden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 xml:space="preserve">perusteella sekä toteuttavat asianmukaiset toimet tämän oikeuden toteutumisen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>turvaamiseksi ja edistämiseksi”</w:t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. Lisäksi esityksen voidaan katsoa toimeenpanevan </w:t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ab/>
        <w:t>myös vammaisyleissopimuksen oikeussuojan saavutettavuutta (</w:t>
      </w:r>
      <w:proofErr w:type="spellStart"/>
      <w:r w:rsidRPr="004F5EBC">
        <w:rPr>
          <w:rFonts w:ascii="Calibri" w:eastAsia="Times New Roman" w:hAnsi="Calibri" w:cs="Calibri"/>
          <w:color w:val="auto"/>
          <w:sz w:val="24"/>
          <w:lang w:val="fi-FI"/>
        </w:rPr>
        <w:t>art</w:t>
      </w:r>
      <w:proofErr w:type="spellEnd"/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 13) ja vammaisten </w:t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ab/>
        <w:t>ihmisten oikeutta työhön (</w:t>
      </w:r>
      <w:proofErr w:type="spellStart"/>
      <w:r w:rsidRPr="004F5EBC">
        <w:rPr>
          <w:rFonts w:ascii="Calibri" w:eastAsia="Times New Roman" w:hAnsi="Calibri" w:cs="Calibri"/>
          <w:color w:val="auto"/>
          <w:sz w:val="24"/>
          <w:lang w:val="fi-FI"/>
        </w:rPr>
        <w:t>art</w:t>
      </w:r>
      <w:proofErr w:type="spellEnd"/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 27) käsitteleviä artikloja.</w:t>
      </w:r>
    </w:p>
    <w:p w:rsidR="004F5EBC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</w:p>
    <w:p w:rsidR="004F5EBC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i/>
          <w:color w:val="auto"/>
          <w:sz w:val="24"/>
          <w:lang w:val="fi-FI"/>
        </w:rPr>
      </w:pP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Esityksessä todetaan: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 xml:space="preserve">”Potilasvakuutuksen mukaiset ansion- ja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 xml:space="preserve">elatuksenmenetyskorvaukset ehdotetaan säädettäväksi takaisin toissijaisiksi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 xml:space="preserve">työeläkkeeseen nähden. Potilasvahingon kärsineen olisi tällöin helpompaa ymmärtää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 xml:space="preserve">hänen saamiensa korvausten kokonaisuus. Potilasvahingon kärsineet ovat useimmiten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 xml:space="preserve">henkilöitä, joilla on jo aiemmin ollut työkyvyn alenemaa ja jotka ovat työeläkkeellä.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 xml:space="preserve">Tällöin on selkeintä, että työeläkejärjestelmä maksaisi koko ansionmenetyskorvauksen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 xml:space="preserve">ja toimeentulo muodostuisi ensisijaisesti työuran aikana karttuneesta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 xml:space="preserve">vanhuuseläkkeestä tai perhe-eläkkeestä. Vain siinä tapauksessa, että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 xml:space="preserve">potilasvakuutuksesta maksettava ansionmenetyskorvaus olisi työeläkettä suurempi,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>vahingon kärsinyt saisi korvausta myös potilasvakuutuksen perusteella.”</w:t>
      </w:r>
    </w:p>
    <w:p w:rsidR="004F5EBC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i/>
          <w:color w:val="auto"/>
          <w:sz w:val="24"/>
          <w:lang w:val="fi-FI"/>
        </w:rPr>
      </w:pPr>
    </w:p>
    <w:p w:rsidR="004F5EBC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ab/>
        <w:t xml:space="preserve">VANE pitää erityisen tärkeänä sitä, että esityksellä pyritään selkiyttämään järjestelmää 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asiakkaan kannalta ja osassa tapauksista myös nopeuttamaan päätösprosessia. 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Merkittävää on myös, ettei asiakkaan asemaa heikennetä taloudellisesti. Kuntien 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tuottamat palvelut ovat vammaisten ihmisten kannalta ensisijaisen tärkeitä, ja siksi </w:t>
      </w:r>
      <w:r>
        <w:rPr>
          <w:rFonts w:ascii="Calibri" w:eastAsia="Times New Roman" w:hAnsi="Calibri" w:cs="Calibri"/>
          <w:color w:val="auto"/>
          <w:sz w:val="24"/>
          <w:lang w:val="fi-FI"/>
        </w:rPr>
        <w:lastRenderedPageBreak/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kuntatalouden pieni kevennys, joka muutoksella on arvioitu saavutettavan, on myös 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>vammaisten ihmisten etu.</w:t>
      </w:r>
    </w:p>
    <w:p w:rsidR="004F5EBC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</w:p>
    <w:p w:rsidR="004F5EBC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i/>
          <w:color w:val="auto"/>
          <w:sz w:val="24"/>
          <w:lang w:val="fi-FI"/>
        </w:rPr>
      </w:pP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Esityksessä todetaan myös: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 xml:space="preserve">”Potilasvakuutuslain mukaisten ansionmenetyksen ja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 xml:space="preserve">elatuksen menetyksen korvausten toissijaisiksi säätämisestä huolimatta viimesijainen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 xml:space="preserve">rahoitusvastuu potilasvahinkojen aiheuttamista ansionmenetyksistä kohdistettaisiin </w:t>
      </w:r>
      <w:r w:rsidRPr="004F5EBC">
        <w:rPr>
          <w:rFonts w:ascii="Calibri" w:eastAsia="Times New Roman" w:hAnsi="Calibri" w:cs="Calibri"/>
          <w:i/>
          <w:color w:val="auto"/>
          <w:sz w:val="24"/>
          <w:lang w:val="fi-FI"/>
        </w:rPr>
        <w:tab/>
        <w:t>jatkossakin pääsääntöisesti potilasvakuutusjärjestelmään.”</w:t>
      </w:r>
    </w:p>
    <w:p w:rsidR="004F5EBC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i/>
          <w:color w:val="auto"/>
          <w:sz w:val="24"/>
          <w:lang w:val="fi-FI"/>
        </w:rPr>
      </w:pPr>
    </w:p>
    <w:p w:rsidR="004F5EBC" w:rsidRPr="004F5EBC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r>
        <w:rPr>
          <w:rFonts w:ascii="Calibri" w:eastAsia="Times New Roman" w:hAnsi="Calibri" w:cs="Calibri"/>
          <w:i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VANE pitää tärkeänä, että ensisijaisuusjärjestyksen muutoksesta huolimatta viime </w:t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ab/>
        <w:t xml:space="preserve">sijainen vastuu potilasvahinkojen ansionmenetyksistä säilyy pääsääntöisesti 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potilasvakuutuksessa, onhan kuitenkin kyse nimenomaan potilasvahingoista. VANE 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 xml:space="preserve">kannattaa myös työkyvyttömyyseläkkeellä olevien työhön paluun edistämisestä 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Pr="004F5EBC">
        <w:rPr>
          <w:rFonts w:ascii="Calibri" w:eastAsia="Times New Roman" w:hAnsi="Calibri" w:cs="Calibri"/>
          <w:color w:val="auto"/>
          <w:sz w:val="24"/>
          <w:lang w:val="fi-FI"/>
        </w:rPr>
        <w:t>annetun lain olemassaoloa jatkettavaksi vuoden 2022 loppuun saakka.</w:t>
      </w:r>
    </w:p>
    <w:p w:rsidR="00055D7D" w:rsidRDefault="00055D7D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</w:p>
    <w:p w:rsidR="00055D7D" w:rsidRPr="00055D7D" w:rsidRDefault="00055D7D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</w:p>
    <w:p w:rsidR="00055D7D" w:rsidRPr="00055D7D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 w:rsidR="00055D7D" w:rsidRPr="00055D7D">
        <w:rPr>
          <w:rFonts w:ascii="Calibri" w:eastAsia="Times New Roman" w:hAnsi="Calibri" w:cs="Calibri"/>
          <w:color w:val="auto"/>
          <w:sz w:val="24"/>
          <w:lang w:val="fi-FI"/>
        </w:rPr>
        <w:t>Vammaisten henkilöiden oikeuksien neuvottelukunta</w:t>
      </w:r>
    </w:p>
    <w:p w:rsidR="00055D7D" w:rsidRPr="00055D7D" w:rsidRDefault="00055D7D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</w:p>
    <w:p w:rsidR="00055D7D" w:rsidRPr="00055D7D" w:rsidRDefault="00055D7D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</w:p>
    <w:p w:rsidR="00055D7D" w:rsidRPr="00055D7D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r>
        <w:rPr>
          <w:rFonts w:ascii="Calibri" w:eastAsia="Times New Roman" w:hAnsi="Calibri" w:cs="Calibri"/>
          <w:color w:val="auto"/>
          <w:sz w:val="24"/>
          <w:lang w:val="fi-FI"/>
        </w:rPr>
        <w:tab/>
        <w:t>Riitta Burrell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  <w:t>Merja Heikkonen</w:t>
      </w:r>
    </w:p>
    <w:p w:rsidR="00055D7D" w:rsidRPr="00055D7D" w:rsidRDefault="004F5EBC" w:rsidP="00055D7D">
      <w:pPr>
        <w:spacing w:after="0" w:line="240" w:lineRule="auto"/>
        <w:ind w:left="0"/>
        <w:rPr>
          <w:rFonts w:ascii="Calibri" w:eastAsia="Times New Roman" w:hAnsi="Calibri" w:cs="Calibri"/>
          <w:color w:val="auto"/>
          <w:sz w:val="24"/>
          <w:lang w:val="fi-FI"/>
        </w:rPr>
      </w:pPr>
      <w:r>
        <w:rPr>
          <w:rFonts w:ascii="Calibri" w:eastAsia="Times New Roman" w:hAnsi="Calibri" w:cs="Calibri"/>
          <w:color w:val="auto"/>
          <w:sz w:val="24"/>
          <w:lang w:val="fi-FI"/>
        </w:rPr>
        <w:tab/>
        <w:t>puheenjohtaja</w:t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</w:r>
      <w:r>
        <w:rPr>
          <w:rFonts w:ascii="Calibri" w:eastAsia="Times New Roman" w:hAnsi="Calibri" w:cs="Calibri"/>
          <w:color w:val="auto"/>
          <w:sz w:val="24"/>
          <w:lang w:val="fi-FI"/>
        </w:rPr>
        <w:tab/>
        <w:t>pääsihteeri</w:t>
      </w:r>
    </w:p>
    <w:p w:rsidR="00E13907" w:rsidRPr="0093347A" w:rsidRDefault="00E13907" w:rsidP="00254D16">
      <w:pPr>
        <w:ind w:left="1304"/>
        <w:jc w:val="both"/>
        <w:rPr>
          <w:color w:val="auto"/>
          <w:lang w:val="fi-FI"/>
        </w:rPr>
      </w:pPr>
    </w:p>
    <w:sectPr w:rsidR="00E13907" w:rsidRPr="0093347A" w:rsidSect="00C8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DD" w:rsidRDefault="009672DD" w:rsidP="006A5311">
      <w:pPr>
        <w:spacing w:after="0" w:line="240" w:lineRule="auto"/>
      </w:pPr>
      <w:r>
        <w:separator/>
      </w:r>
    </w:p>
    <w:p w:rsidR="009672DD" w:rsidRDefault="009672DD"/>
  </w:endnote>
  <w:endnote w:type="continuationSeparator" w:id="0">
    <w:p w:rsidR="009672DD" w:rsidRDefault="009672DD" w:rsidP="006A5311">
      <w:pPr>
        <w:spacing w:after="0" w:line="240" w:lineRule="auto"/>
      </w:pPr>
      <w:r>
        <w:continuationSeparator/>
      </w:r>
    </w:p>
    <w:p w:rsidR="009672DD" w:rsidRDefault="00967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94" w:rsidRDefault="00E41A9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94" w:rsidRDefault="00E41A9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DD" w:rsidRDefault="009672DD" w:rsidP="006A5311">
      <w:pPr>
        <w:spacing w:after="0" w:line="240" w:lineRule="auto"/>
      </w:pPr>
      <w:r>
        <w:separator/>
      </w:r>
    </w:p>
    <w:p w:rsidR="009672DD" w:rsidRDefault="009672DD"/>
  </w:footnote>
  <w:footnote w:type="continuationSeparator" w:id="0">
    <w:p w:rsidR="009672DD" w:rsidRDefault="009672DD" w:rsidP="006A5311">
      <w:pPr>
        <w:spacing w:after="0" w:line="240" w:lineRule="auto"/>
      </w:pPr>
      <w:r>
        <w:continuationSeparator/>
      </w:r>
    </w:p>
    <w:p w:rsidR="009672DD" w:rsidRDefault="009672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2DD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E41A94">
      <w:rPr>
        <w:noProof/>
      </w:rPr>
      <w:t>2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E41A94">
      <w:rPr>
        <w:noProof/>
      </w:rPr>
      <w:t>2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AB14C8" w:rsidRDefault="009672DD" w:rsidP="00E13907">
    <w:pPr>
      <w:pStyle w:val="Yltunniste"/>
      <w:tabs>
        <w:tab w:val="clear" w:pos="4819"/>
        <w:tab w:val="clear" w:pos="9638"/>
        <w:tab w:val="left" w:pos="5480"/>
      </w:tabs>
      <w:rPr>
        <w:lang w:val="fi-FI"/>
      </w:rPr>
    </w:pPr>
    <w:bookmarkStart w:id="0" w:name="_GoBack"/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bookmarkEnd w:id="0"/>
    <w:r w:rsidR="00AB14C8" w:rsidRPr="00AB14C8">
      <w:rPr>
        <w:lang w:val="fi-FI"/>
      </w:rPr>
      <w:tab/>
    </w:r>
    <w:r w:rsidR="00E41A94">
      <w:rPr>
        <w:lang w:val="fi-FI"/>
      </w:rPr>
      <w:t>9</w:t>
    </w:r>
    <w:r w:rsidR="004F5EBC">
      <w:rPr>
        <w:lang w:val="fi-FI"/>
      </w:rPr>
      <w:t>.6</w:t>
    </w:r>
    <w:r w:rsidR="00CC3C0C">
      <w:rPr>
        <w:lang w:val="fi-FI"/>
      </w:rPr>
      <w:t>.</w:t>
    </w:r>
    <w:r w:rsidR="00E0446A">
      <w:rPr>
        <w:lang w:val="fi-FI"/>
      </w:rPr>
      <w:t>2020</w:t>
    </w:r>
  </w:p>
  <w:p w:rsidR="00210D2C" w:rsidRPr="00AB14C8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lang w:val="fi-FI"/>
      </w:rPr>
    </w:pPr>
    <w:r w:rsidRPr="00AB14C8">
      <w:rPr>
        <w:lang w:val="fi-FI"/>
      </w:rPr>
      <w:tab/>
    </w:r>
    <w:r w:rsidR="00052C36">
      <w:rPr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1250B"/>
    <w:rsid w:val="00052C36"/>
    <w:rsid w:val="00054D27"/>
    <w:rsid w:val="00055D7D"/>
    <w:rsid w:val="00065071"/>
    <w:rsid w:val="000C7B40"/>
    <w:rsid w:val="001212FF"/>
    <w:rsid w:val="00136334"/>
    <w:rsid w:val="0014734B"/>
    <w:rsid w:val="001665DB"/>
    <w:rsid w:val="001820BA"/>
    <w:rsid w:val="001A1058"/>
    <w:rsid w:val="001A77F8"/>
    <w:rsid w:val="001F03A4"/>
    <w:rsid w:val="001F6720"/>
    <w:rsid w:val="00210D2C"/>
    <w:rsid w:val="00241C15"/>
    <w:rsid w:val="00246F03"/>
    <w:rsid w:val="00254D16"/>
    <w:rsid w:val="00263ADB"/>
    <w:rsid w:val="00270DA1"/>
    <w:rsid w:val="00290308"/>
    <w:rsid w:val="002F1236"/>
    <w:rsid w:val="00302F54"/>
    <w:rsid w:val="00304DD4"/>
    <w:rsid w:val="00324A82"/>
    <w:rsid w:val="00330927"/>
    <w:rsid w:val="003419B0"/>
    <w:rsid w:val="00380EB8"/>
    <w:rsid w:val="00387A7A"/>
    <w:rsid w:val="003F1760"/>
    <w:rsid w:val="004012E6"/>
    <w:rsid w:val="00432CCB"/>
    <w:rsid w:val="00441C26"/>
    <w:rsid w:val="00451AFF"/>
    <w:rsid w:val="0045296D"/>
    <w:rsid w:val="004A14F8"/>
    <w:rsid w:val="004F5EBC"/>
    <w:rsid w:val="005338AE"/>
    <w:rsid w:val="005522AB"/>
    <w:rsid w:val="005C5275"/>
    <w:rsid w:val="005E02E4"/>
    <w:rsid w:val="00696B53"/>
    <w:rsid w:val="006A5311"/>
    <w:rsid w:val="006C314E"/>
    <w:rsid w:val="006D77F9"/>
    <w:rsid w:val="007054A1"/>
    <w:rsid w:val="00707577"/>
    <w:rsid w:val="00786D05"/>
    <w:rsid w:val="007B3C70"/>
    <w:rsid w:val="007C3864"/>
    <w:rsid w:val="007C6E5D"/>
    <w:rsid w:val="007F61AF"/>
    <w:rsid w:val="00817C61"/>
    <w:rsid w:val="00823CC0"/>
    <w:rsid w:val="00845B58"/>
    <w:rsid w:val="00896694"/>
    <w:rsid w:val="008A12D5"/>
    <w:rsid w:val="008A7EA2"/>
    <w:rsid w:val="00910B25"/>
    <w:rsid w:val="0091335B"/>
    <w:rsid w:val="009144F6"/>
    <w:rsid w:val="009149EE"/>
    <w:rsid w:val="00931064"/>
    <w:rsid w:val="0093347A"/>
    <w:rsid w:val="009672DD"/>
    <w:rsid w:val="00983653"/>
    <w:rsid w:val="009841DC"/>
    <w:rsid w:val="009A767E"/>
    <w:rsid w:val="009B3F61"/>
    <w:rsid w:val="009C528B"/>
    <w:rsid w:val="00A22136"/>
    <w:rsid w:val="00A437B4"/>
    <w:rsid w:val="00AA767C"/>
    <w:rsid w:val="00AB14C8"/>
    <w:rsid w:val="00AC1747"/>
    <w:rsid w:val="00B23DED"/>
    <w:rsid w:val="00B563D7"/>
    <w:rsid w:val="00BF4ADF"/>
    <w:rsid w:val="00C12148"/>
    <w:rsid w:val="00C17156"/>
    <w:rsid w:val="00C173EA"/>
    <w:rsid w:val="00C23EB3"/>
    <w:rsid w:val="00C60EA2"/>
    <w:rsid w:val="00C83653"/>
    <w:rsid w:val="00C90130"/>
    <w:rsid w:val="00CA35AF"/>
    <w:rsid w:val="00CC3C0C"/>
    <w:rsid w:val="00CD07DA"/>
    <w:rsid w:val="00CD3DD6"/>
    <w:rsid w:val="00D177F6"/>
    <w:rsid w:val="00D37899"/>
    <w:rsid w:val="00D50AB3"/>
    <w:rsid w:val="00D527E3"/>
    <w:rsid w:val="00D607A8"/>
    <w:rsid w:val="00D62B7E"/>
    <w:rsid w:val="00DB2529"/>
    <w:rsid w:val="00DC27B3"/>
    <w:rsid w:val="00E0446A"/>
    <w:rsid w:val="00E13907"/>
    <w:rsid w:val="00E21108"/>
    <w:rsid w:val="00E3311F"/>
    <w:rsid w:val="00E41A94"/>
    <w:rsid w:val="00E7485B"/>
    <w:rsid w:val="00E93F9C"/>
    <w:rsid w:val="00E97B37"/>
    <w:rsid w:val="00EC01CC"/>
    <w:rsid w:val="00F42DEA"/>
    <w:rsid w:val="00F435D2"/>
    <w:rsid w:val="00F4383D"/>
    <w:rsid w:val="00F625C8"/>
    <w:rsid w:val="00F827B0"/>
    <w:rsid w:val="00FD56EB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14BF2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A6B3-07D3-4EF5-8991-33460AAC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3001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Alatalo Emmi (STM)</cp:lastModifiedBy>
  <cp:revision>4</cp:revision>
  <cp:lastPrinted>2018-03-02T06:56:00Z</cp:lastPrinted>
  <dcterms:created xsi:type="dcterms:W3CDTF">2020-06-09T08:46:00Z</dcterms:created>
  <dcterms:modified xsi:type="dcterms:W3CDTF">2020-06-11T10:13:00Z</dcterms:modified>
</cp:coreProperties>
</file>