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p>
    <w:p w:rsidR="001212FF" w:rsidRPr="00532CDF" w:rsidRDefault="001212FF" w:rsidP="00532CDF">
      <w:pPr>
        <w:spacing w:line="240" w:lineRule="auto"/>
        <w:ind w:left="0"/>
        <w:jc w:val="both"/>
        <w:rPr>
          <w:color w:val="auto"/>
          <w:szCs w:val="22"/>
          <w:lang w:val="fi-FI"/>
        </w:rPr>
      </w:pPr>
    </w:p>
    <w:p w:rsidR="00A12F4D" w:rsidRPr="004C3892" w:rsidRDefault="00A12F4D" w:rsidP="00A12F4D">
      <w:pPr>
        <w:spacing w:line="240" w:lineRule="auto"/>
        <w:ind w:left="0"/>
        <w:jc w:val="both"/>
        <w:rPr>
          <w:color w:val="auto"/>
          <w:szCs w:val="22"/>
          <w:lang w:val="fi-FI"/>
        </w:rPr>
      </w:pPr>
      <w:r w:rsidRPr="00A12F4D">
        <w:rPr>
          <w:color w:val="auto"/>
          <w:szCs w:val="22"/>
          <w:lang w:val="fi-FI"/>
        </w:rPr>
        <w:t xml:space="preserve">Asia: </w:t>
      </w:r>
      <w:r w:rsidR="004C3892" w:rsidRPr="004C3892">
        <w:rPr>
          <w:color w:val="auto"/>
          <w:szCs w:val="22"/>
          <w:lang w:val="fi-FI"/>
        </w:rPr>
        <w:t>Kuluttajan- ja asiakkaansuojan parantaminen henkilöön kohdistuvissa palveluissa</w:t>
      </w:r>
    </w:p>
    <w:p w:rsidR="003421E9" w:rsidRDefault="00A12F4D" w:rsidP="00A12F4D">
      <w:pPr>
        <w:spacing w:line="240" w:lineRule="auto"/>
        <w:ind w:left="0"/>
        <w:jc w:val="both"/>
        <w:rPr>
          <w:color w:val="auto"/>
          <w:szCs w:val="22"/>
          <w:lang w:val="fi-FI"/>
        </w:rPr>
      </w:pPr>
      <w:r w:rsidRPr="00A12F4D">
        <w:rPr>
          <w:color w:val="auto"/>
          <w:szCs w:val="22"/>
          <w:lang w:val="fi-FI"/>
        </w:rPr>
        <w:t xml:space="preserve">Viite: </w:t>
      </w:r>
      <w:r w:rsidR="004C3892" w:rsidRPr="004C3892">
        <w:rPr>
          <w:color w:val="auto"/>
          <w:szCs w:val="22"/>
          <w:lang w:val="fi-FI"/>
        </w:rPr>
        <w:t>VN/718/2020</w:t>
      </w:r>
    </w:p>
    <w:p w:rsidR="004C3892" w:rsidRDefault="004C3892" w:rsidP="00A12F4D">
      <w:pPr>
        <w:spacing w:line="240" w:lineRule="auto"/>
        <w:ind w:left="0"/>
        <w:jc w:val="both"/>
        <w:rPr>
          <w:i/>
          <w:color w:val="auto"/>
          <w:szCs w:val="22"/>
          <w:lang w:val="fi-FI"/>
        </w:rPr>
      </w:pPr>
    </w:p>
    <w:p w:rsidR="004F2268" w:rsidRDefault="004C3892" w:rsidP="003421E9">
      <w:pPr>
        <w:spacing w:line="240" w:lineRule="auto"/>
        <w:ind w:left="0"/>
        <w:jc w:val="both"/>
        <w:rPr>
          <w:color w:val="auto"/>
          <w:szCs w:val="22"/>
          <w:lang w:val="fi-FI"/>
        </w:rPr>
      </w:pPr>
      <w:r w:rsidRPr="004C3892">
        <w:rPr>
          <w:i/>
          <w:color w:val="auto"/>
          <w:szCs w:val="22"/>
          <w:lang w:val="fi-FI"/>
        </w:rPr>
        <w:t>1.Onko asiakkaalla tarve saada nykyistä parempaa oikeussuojaa julkisesti järjestetyissä henkilöpalveluissa? (asiakkaansuojalaki ja asiakasmaksuja koskevat säännökset)</w:t>
      </w:r>
      <w:r w:rsidR="004F2268">
        <w:rPr>
          <w:i/>
          <w:color w:val="auto"/>
          <w:szCs w:val="22"/>
          <w:lang w:val="fi-FI"/>
        </w:rPr>
        <w:tab/>
      </w:r>
    </w:p>
    <w:p w:rsidR="004C3892" w:rsidRDefault="003F3E2D" w:rsidP="00A12F4D">
      <w:pPr>
        <w:spacing w:line="240" w:lineRule="auto"/>
        <w:ind w:left="1304"/>
        <w:jc w:val="both"/>
        <w:rPr>
          <w:color w:val="auto"/>
          <w:szCs w:val="22"/>
          <w:lang w:val="fi-FI"/>
        </w:rPr>
      </w:pPr>
      <w:r w:rsidRPr="003F3E2D">
        <w:rPr>
          <w:color w:val="auto"/>
          <w:szCs w:val="22"/>
          <w:lang w:val="fi-FI"/>
        </w:rPr>
        <w:t xml:space="preserve">Vammaisten henkilöiden oikeuksien neuvottelukunta VANE tarkastelee esitystä YK:n vammaisyleissopimuksen näkökulmasta. Yleissopimuksen oikeussuojan saavutettavuutta käsittelevässä artiklassa (art 13) todetaan mm.: </w:t>
      </w:r>
      <w:r w:rsidRPr="003F3E2D">
        <w:rPr>
          <w:i/>
          <w:color w:val="auto"/>
          <w:szCs w:val="22"/>
          <w:lang w:val="fi-FI"/>
        </w:rPr>
        <w:t>”Sopimuspuolet varmistavat vammaisille henkilöille oikeussuojan tehokkaan saavutettavuuden yhdenvertaisesti muiden kanssa”.</w:t>
      </w:r>
      <w:r w:rsidRPr="003F3E2D">
        <w:rPr>
          <w:color w:val="auto"/>
          <w:szCs w:val="22"/>
          <w:lang w:val="fi-FI"/>
        </w:rPr>
        <w:t xml:space="preserve"> Vammaisyleissopimus on Suomessa voimassa lain tasoisena, joten VANE katsoo, että kaikki toimet, joilla vammaisten ihmisten oikeussuojaa edistetään, ovat tarpeellisia. VANEn tietoon on tullut tapauksia, joissa vammaiset ihmiset ovat palvelun käyttäjiä, esim. vammaispalvelulain mukaiset asumis- tai kuljetuspalvelut, tulkkauspalvelut tai apuvälinepalvelut, ja he eivät ole aina saaneet laadultaan tai määrältään sovitun mukaista palvelua. Näissä tilanteissa vammaiset ihmiset eivät ole kuitenkaan kuluttajan asemassa ja heidän ainoaksi mahdollisuudekseen on jäänyt palautteen anto palvelun tuottajalle. Näin silloinkin, kun esimerkiksi palvelun viivästymisestä on aiheutunut heille suoranaista taloudellista vahinkoa (esim. jatkoyhteyksistä myöhästyminen viivästyneen kuljetuksen vuoksi). Nykyiset viranomaisvalvonnan keinot eivät riitä tämän tyyppisten tilanteiden korjaamiseen.</w:t>
      </w:r>
    </w:p>
    <w:p w:rsidR="003F3E2D" w:rsidRDefault="003F3E2D" w:rsidP="003F3E2D">
      <w:pPr>
        <w:spacing w:line="240" w:lineRule="auto"/>
        <w:ind w:left="0"/>
        <w:jc w:val="both"/>
        <w:rPr>
          <w:i/>
          <w:color w:val="auto"/>
          <w:szCs w:val="22"/>
          <w:lang w:val="fi-FI"/>
        </w:rPr>
      </w:pPr>
      <w:r w:rsidRPr="003F3E2D">
        <w:rPr>
          <w:i/>
          <w:color w:val="auto"/>
          <w:szCs w:val="22"/>
          <w:lang w:val="fi-FI"/>
        </w:rPr>
        <w:t>2. Onko asiakkaansuojalain soveltamisala (1§:n 1 mom. mukaiset palvelujen järjestäjät ja tarjoajat) asianmukainen? Miten arvioitte erityisesti sääntelyn suhdetta Kelan kuntoutuslaissa säädettyyn kuntoutuksen järjestämisvastuuseen ja toisaalta sairausvakuutuslaissa tarkoitettuihin taksimatkoihin (kts. mietinnön 2.5. jaksossa selostettu tulkinnanvaraisuus)?</w:t>
      </w:r>
    </w:p>
    <w:p w:rsidR="003F3E2D" w:rsidRDefault="003F3E2D" w:rsidP="003F3E2D">
      <w:pPr>
        <w:spacing w:line="240" w:lineRule="auto"/>
        <w:ind w:left="0"/>
        <w:jc w:val="both"/>
        <w:rPr>
          <w:color w:val="auto"/>
          <w:szCs w:val="22"/>
          <w:lang w:val="fi-FI"/>
        </w:rPr>
      </w:pPr>
      <w:r>
        <w:rPr>
          <w:i/>
          <w:color w:val="auto"/>
          <w:szCs w:val="22"/>
          <w:lang w:val="fi-FI"/>
        </w:rPr>
        <w:tab/>
      </w:r>
      <w:r w:rsidRPr="003F3E2D">
        <w:rPr>
          <w:color w:val="auto"/>
          <w:szCs w:val="22"/>
          <w:lang w:val="fi-FI"/>
        </w:rPr>
        <w:t xml:space="preserve">VANE pitää ehdotusta YK:n vammaissopimuksen artiklan 13 mukaisena edistämisenä. VANE </w:t>
      </w:r>
      <w:r>
        <w:rPr>
          <w:color w:val="auto"/>
          <w:szCs w:val="22"/>
          <w:lang w:val="fi-FI"/>
        </w:rPr>
        <w:tab/>
      </w:r>
      <w:r w:rsidRPr="003F3E2D">
        <w:rPr>
          <w:color w:val="auto"/>
          <w:szCs w:val="22"/>
          <w:lang w:val="fi-FI"/>
        </w:rPr>
        <w:t xml:space="preserve">katsoo myös, että Kelan taksimatkoissa ja kuntoutuspalveluissa vammaiset ihmiset eivät ole </w:t>
      </w:r>
      <w:r>
        <w:rPr>
          <w:color w:val="auto"/>
          <w:szCs w:val="22"/>
          <w:lang w:val="fi-FI"/>
        </w:rPr>
        <w:tab/>
      </w:r>
      <w:r w:rsidRPr="003F3E2D">
        <w:rPr>
          <w:color w:val="auto"/>
          <w:szCs w:val="22"/>
          <w:lang w:val="fi-FI"/>
        </w:rPr>
        <w:t xml:space="preserve">kuluttajan, vaan asiakkaan asemassa. Palvelut ovat kilpailutuksen myötä hyvin tarkkaan </w:t>
      </w:r>
      <w:r>
        <w:rPr>
          <w:color w:val="auto"/>
          <w:szCs w:val="22"/>
          <w:lang w:val="fi-FI"/>
        </w:rPr>
        <w:tab/>
      </w:r>
      <w:r w:rsidRPr="003F3E2D">
        <w:rPr>
          <w:color w:val="auto"/>
          <w:szCs w:val="22"/>
          <w:lang w:val="fi-FI"/>
        </w:rPr>
        <w:t xml:space="preserve">säänneltyjä, vammaiset ihmiset eivät voi juurikaan vaikuttaa palvelun sisältöön tai valita </w:t>
      </w:r>
      <w:r>
        <w:rPr>
          <w:color w:val="auto"/>
          <w:szCs w:val="22"/>
          <w:lang w:val="fi-FI"/>
        </w:rPr>
        <w:tab/>
      </w:r>
      <w:r w:rsidRPr="003F3E2D">
        <w:rPr>
          <w:color w:val="auto"/>
          <w:szCs w:val="22"/>
          <w:lang w:val="fi-FI"/>
        </w:rPr>
        <w:t xml:space="preserve">palvelun tuottajaa. Iso osa vammaisista ihmisistä kuuluu myös terveydenhuollon matkojen </w:t>
      </w:r>
      <w:r>
        <w:rPr>
          <w:color w:val="auto"/>
          <w:szCs w:val="22"/>
          <w:lang w:val="fi-FI"/>
        </w:rPr>
        <w:tab/>
      </w:r>
      <w:r w:rsidRPr="003F3E2D">
        <w:rPr>
          <w:color w:val="auto"/>
          <w:szCs w:val="22"/>
          <w:lang w:val="fi-FI"/>
        </w:rPr>
        <w:t xml:space="preserve">osalta niihin asiakkaisiin, joilla maksukatto täyttyy heti alkuvuodesta, jolloin myös maksavan </w:t>
      </w:r>
      <w:r>
        <w:rPr>
          <w:color w:val="auto"/>
          <w:szCs w:val="22"/>
          <w:lang w:val="fi-FI"/>
        </w:rPr>
        <w:tab/>
      </w:r>
      <w:r w:rsidRPr="003F3E2D">
        <w:rPr>
          <w:color w:val="auto"/>
          <w:szCs w:val="22"/>
          <w:lang w:val="fi-FI"/>
        </w:rPr>
        <w:t xml:space="preserve">asiakkaan rooli suhteessa palvelun tuottajaan jää hyvin lyhytaikaiseksi. Kelan järjestämässä ja </w:t>
      </w:r>
      <w:r>
        <w:rPr>
          <w:color w:val="auto"/>
          <w:szCs w:val="22"/>
          <w:lang w:val="fi-FI"/>
        </w:rPr>
        <w:tab/>
      </w:r>
      <w:r w:rsidRPr="003F3E2D">
        <w:rPr>
          <w:color w:val="auto"/>
          <w:szCs w:val="22"/>
          <w:lang w:val="fi-FI"/>
        </w:rPr>
        <w:t xml:space="preserve">kilpailuttamassa tulkkauspalvelussa on myös ilmennyt ongelmia palvelun saatavuudessa ja </w:t>
      </w:r>
      <w:r>
        <w:rPr>
          <w:color w:val="auto"/>
          <w:szCs w:val="22"/>
          <w:lang w:val="fi-FI"/>
        </w:rPr>
        <w:tab/>
      </w:r>
      <w:r w:rsidRPr="003F3E2D">
        <w:rPr>
          <w:color w:val="auto"/>
          <w:szCs w:val="22"/>
          <w:lang w:val="fi-FI"/>
        </w:rPr>
        <w:t>palvelu on niin ikään asiakkaalle maksuton.</w:t>
      </w:r>
    </w:p>
    <w:p w:rsidR="003F3E2D" w:rsidRDefault="003F3E2D" w:rsidP="003F3E2D">
      <w:pPr>
        <w:spacing w:line="240" w:lineRule="auto"/>
        <w:ind w:left="0"/>
        <w:jc w:val="both"/>
        <w:rPr>
          <w:i/>
          <w:color w:val="auto"/>
          <w:szCs w:val="22"/>
          <w:lang w:val="fi-FI"/>
        </w:rPr>
      </w:pPr>
    </w:p>
    <w:p w:rsidR="003F3E2D" w:rsidRPr="003F3E2D" w:rsidRDefault="003F3E2D" w:rsidP="003F3E2D">
      <w:pPr>
        <w:spacing w:line="240" w:lineRule="auto"/>
        <w:ind w:left="0"/>
        <w:jc w:val="both"/>
        <w:rPr>
          <w:i/>
          <w:color w:val="auto"/>
          <w:szCs w:val="22"/>
          <w:lang w:val="fi-FI"/>
        </w:rPr>
      </w:pPr>
      <w:r w:rsidRPr="003F3E2D">
        <w:rPr>
          <w:i/>
          <w:color w:val="auto"/>
          <w:szCs w:val="22"/>
          <w:lang w:val="fi-FI"/>
        </w:rPr>
        <w:lastRenderedPageBreak/>
        <w:t>3. Onko asiakkaansuojalain soveltamisalaan kuuluvat palvelut asianmukaisesti rajattu ( 2§:n 1 mom. 1 kohta ja KSL 9 a luku 1 §)?</w:t>
      </w:r>
    </w:p>
    <w:p w:rsidR="003F3E2D" w:rsidRDefault="003F3E2D" w:rsidP="00532CDF">
      <w:pPr>
        <w:spacing w:line="240" w:lineRule="auto"/>
        <w:ind w:left="1304"/>
        <w:jc w:val="both"/>
        <w:rPr>
          <w:color w:val="auto"/>
          <w:szCs w:val="22"/>
          <w:lang w:val="fi-FI"/>
        </w:rPr>
      </w:pPr>
      <w:r w:rsidRPr="003F3E2D">
        <w:rPr>
          <w:color w:val="auto"/>
          <w:szCs w:val="22"/>
          <w:lang w:val="fi-FI"/>
        </w:rPr>
        <w:t>VANE pitää tärkeänä, että ainakin sosiaali- ja terveyspalvelut (ml. tulkkauspalvelut), taksipalvelut ja koulutus ovat mukana</w:t>
      </w:r>
      <w:r>
        <w:rPr>
          <w:color w:val="auto"/>
          <w:szCs w:val="22"/>
          <w:lang w:val="fi-FI"/>
        </w:rPr>
        <w:t>.</w:t>
      </w:r>
    </w:p>
    <w:p w:rsidR="003F3E2D" w:rsidRPr="003F3E2D" w:rsidRDefault="003F3E2D" w:rsidP="003F3E2D">
      <w:pPr>
        <w:spacing w:line="240" w:lineRule="auto"/>
        <w:ind w:left="0"/>
        <w:jc w:val="both"/>
        <w:rPr>
          <w:i/>
          <w:color w:val="auto"/>
          <w:szCs w:val="22"/>
          <w:lang w:val="fi-FI"/>
        </w:rPr>
      </w:pPr>
      <w:r w:rsidRPr="003F3E2D">
        <w:rPr>
          <w:i/>
          <w:color w:val="auto"/>
          <w:szCs w:val="22"/>
          <w:lang w:val="fi-FI"/>
        </w:rPr>
        <w:t>4. Onko markkinointia koskeva sääntely perusteltua toteuttaa esitetyllä tavalla? (asiakkaansuojalain 3§)</w:t>
      </w:r>
    </w:p>
    <w:p w:rsidR="003F3E2D" w:rsidRDefault="00422068" w:rsidP="00532CDF">
      <w:pPr>
        <w:spacing w:line="240" w:lineRule="auto"/>
        <w:ind w:left="1304"/>
        <w:jc w:val="both"/>
        <w:rPr>
          <w:color w:val="auto"/>
          <w:szCs w:val="22"/>
          <w:lang w:val="fi-FI"/>
        </w:rPr>
      </w:pPr>
      <w:r w:rsidRPr="00422068">
        <w:rPr>
          <w:color w:val="auto"/>
          <w:szCs w:val="22"/>
          <w:lang w:val="fi-FI"/>
        </w:rPr>
        <w:t>VANElla ei ole huomautettavaa pykälään, mutta se haluaa muistuttaa YK:n vammaissopimuksen velvoitteesta edistää esteettömyyttä ja saavutettavuutta (art 9) kaikessa viestinnässä.</w:t>
      </w:r>
    </w:p>
    <w:p w:rsidR="00422068" w:rsidRPr="00422068" w:rsidRDefault="00422068" w:rsidP="00422068">
      <w:pPr>
        <w:spacing w:line="240" w:lineRule="auto"/>
        <w:ind w:left="0"/>
        <w:jc w:val="both"/>
        <w:rPr>
          <w:i/>
          <w:color w:val="auto"/>
          <w:szCs w:val="22"/>
          <w:lang w:val="fi-FI"/>
        </w:rPr>
      </w:pPr>
      <w:r w:rsidRPr="00422068">
        <w:rPr>
          <w:i/>
          <w:color w:val="auto"/>
          <w:szCs w:val="22"/>
          <w:lang w:val="fi-FI"/>
        </w:rPr>
        <w:t>5. Onko vahingonkorvaus sääntely perusteltua toteuttaa esitetyllä tavalla, (mm. käännetty todistustaakka)?</w:t>
      </w:r>
    </w:p>
    <w:p w:rsidR="003F3E2D" w:rsidRDefault="00422068" w:rsidP="00532CDF">
      <w:pPr>
        <w:spacing w:line="240" w:lineRule="auto"/>
        <w:ind w:left="1304"/>
        <w:jc w:val="both"/>
        <w:rPr>
          <w:color w:val="auto"/>
          <w:szCs w:val="22"/>
          <w:lang w:val="fi-FI"/>
        </w:rPr>
      </w:pPr>
      <w:r w:rsidRPr="00422068">
        <w:rPr>
          <w:color w:val="auto"/>
          <w:szCs w:val="22"/>
          <w:lang w:val="fi-FI"/>
        </w:rPr>
        <w:t>VANE pitää ehdotusta vammaisyleissopimuksen artiklan 13 mukaisena vammaisten ihmisten oikeussuojan saavutettavuuden edistämisenä.</w:t>
      </w:r>
    </w:p>
    <w:p w:rsidR="00422068" w:rsidRPr="00422068" w:rsidRDefault="00422068" w:rsidP="00422068">
      <w:pPr>
        <w:spacing w:line="240" w:lineRule="auto"/>
        <w:ind w:left="0"/>
        <w:jc w:val="both"/>
        <w:rPr>
          <w:i/>
          <w:color w:val="auto"/>
          <w:szCs w:val="22"/>
          <w:lang w:val="fi-FI"/>
        </w:rPr>
      </w:pPr>
      <w:r w:rsidRPr="00422068">
        <w:rPr>
          <w:i/>
          <w:color w:val="auto"/>
          <w:szCs w:val="22"/>
          <w:lang w:val="fi-FI"/>
        </w:rPr>
        <w:t>6. Miten näette ostopalveluja koskevan ehdotetun sääntelyn (mm. ostopalvelusopimuksen määräysten merkitys virheen määrittelyssä ja isännänvastuuta koskeva sääntely, asiakkaansuojalaki 2§ 1 mom. 4 kohta, 4§ 2 mom, 5§, 6§ ja 7§)?</w:t>
      </w:r>
    </w:p>
    <w:p w:rsidR="003F3E2D" w:rsidRDefault="00422068" w:rsidP="00532CDF">
      <w:pPr>
        <w:spacing w:line="240" w:lineRule="auto"/>
        <w:ind w:left="1304"/>
        <w:jc w:val="both"/>
        <w:rPr>
          <w:color w:val="auto"/>
          <w:szCs w:val="22"/>
          <w:lang w:val="fi-FI"/>
        </w:rPr>
      </w:pPr>
      <w:r w:rsidRPr="00422068">
        <w:rPr>
          <w:color w:val="auto"/>
          <w:szCs w:val="22"/>
          <w:lang w:val="fi-FI"/>
        </w:rPr>
        <w:t>VANE pitää tärkeänä asiakkaan osallistamista aina kun se on mahdollista (YK-vammaisyleissopimus art 4(3)). Perusteluihin olisi hyvä saada myös esimerkki, jossa on kyse kuljetuspalvelun viivästymisestä ostopalvelusopimuksen mukaisista aikaikkunoista poiketen. Nämä tilanteet ovat yleistyneet kuljetuspalvelujen kilpailutusten jälkeen. Käytännössä vammaiset ihmiset eivät näissä tilanteissa pääse liikkeelle lainkaan, jos kuljetus jää tulematta tai viivästyy merkittävästi niin, ettei lähtemisellä ole enää merkitystä. Kuljetuspalvelu on vammaisille ihmisille usein tosiasiassa ainoa tapa liikkua. Tulkkauspalveluissa esiintyy myös tilanteita, jolloin tulkkia ei löydetä tulkkaustilanteeseen lainkaan, jolloin kuulo- tai puhevammaisen henkilön osallistuminen estyy kokonaan.</w:t>
      </w:r>
    </w:p>
    <w:p w:rsidR="00422068" w:rsidRPr="00422068" w:rsidRDefault="00422068" w:rsidP="00422068">
      <w:pPr>
        <w:spacing w:line="240" w:lineRule="auto"/>
        <w:ind w:left="0"/>
        <w:jc w:val="both"/>
        <w:rPr>
          <w:i/>
          <w:color w:val="auto"/>
          <w:szCs w:val="22"/>
          <w:lang w:val="fi-FI"/>
        </w:rPr>
      </w:pPr>
      <w:r w:rsidRPr="00422068">
        <w:rPr>
          <w:i/>
          <w:color w:val="auto"/>
          <w:szCs w:val="22"/>
          <w:lang w:val="fi-FI"/>
        </w:rPr>
        <w:t>7.Onko julkisissa palveluissa perusteltua saada asiakasmaksuhuojennus virheen perusteella?</w:t>
      </w:r>
    </w:p>
    <w:p w:rsidR="00422068" w:rsidRDefault="00422068" w:rsidP="00532CDF">
      <w:pPr>
        <w:spacing w:line="240" w:lineRule="auto"/>
        <w:ind w:left="1304"/>
        <w:jc w:val="both"/>
        <w:rPr>
          <w:color w:val="auto"/>
          <w:szCs w:val="22"/>
          <w:lang w:val="fi-FI"/>
        </w:rPr>
      </w:pPr>
      <w:r w:rsidRPr="00422068">
        <w:rPr>
          <w:color w:val="auto"/>
          <w:szCs w:val="22"/>
          <w:lang w:val="fi-FI"/>
        </w:rPr>
        <w:t>Vammaispalvelut ja tulkkauspalvelut ovat ensi</w:t>
      </w:r>
      <w:r>
        <w:rPr>
          <w:color w:val="auto"/>
          <w:szCs w:val="22"/>
          <w:lang w:val="fi-FI"/>
        </w:rPr>
        <w:t xml:space="preserve"> </w:t>
      </w:r>
      <w:r w:rsidRPr="00422068">
        <w:rPr>
          <w:color w:val="auto"/>
          <w:szCs w:val="22"/>
          <w:lang w:val="fi-FI"/>
        </w:rPr>
        <w:t>sijassa maksuttomia, ja toisaalta maksukatot suojaavat asiakasmaksujen kohtuuttomalta kertymiseltä. Vammaisten ihmisten kannalta olennaista on saada laadukasta ja oikea-aikaista palvelua, koska ne ovat vammaisille ihmisille jokapäiväisen elämän sujumisen kannalta välttämättömiä. Vahingonkorvaus tulisi kuitenkin saada aina silloin, kun palvelun heikkolaatuisuus, toteutumattomuus tai viivästyminen on aiheuttanut taloudellisia menetyksiä (kts. kohta 1).</w:t>
      </w:r>
    </w:p>
    <w:p w:rsidR="00422068" w:rsidRPr="00422068" w:rsidRDefault="00422068" w:rsidP="00422068">
      <w:pPr>
        <w:spacing w:line="240" w:lineRule="auto"/>
        <w:ind w:left="0"/>
        <w:jc w:val="both"/>
        <w:rPr>
          <w:i/>
          <w:color w:val="auto"/>
          <w:szCs w:val="22"/>
          <w:lang w:val="fi-FI"/>
        </w:rPr>
      </w:pPr>
      <w:r w:rsidRPr="00422068">
        <w:rPr>
          <w:i/>
          <w:color w:val="auto"/>
          <w:szCs w:val="22"/>
          <w:lang w:val="fi-FI"/>
        </w:rPr>
        <w:t>8.Miten asiakkaansuojasääntelyä koskevan ehdotuksen vaikutusten arviointia voisi kehittää?</w:t>
      </w:r>
    </w:p>
    <w:p w:rsidR="00422068" w:rsidRDefault="00422068" w:rsidP="00532CDF">
      <w:pPr>
        <w:spacing w:line="240" w:lineRule="auto"/>
        <w:ind w:left="1304"/>
        <w:jc w:val="both"/>
        <w:rPr>
          <w:color w:val="auto"/>
          <w:szCs w:val="22"/>
          <w:lang w:val="fi-FI"/>
        </w:rPr>
      </w:pPr>
      <w:r w:rsidRPr="00422068">
        <w:rPr>
          <w:color w:val="auto"/>
          <w:szCs w:val="22"/>
          <w:lang w:val="fi-FI"/>
        </w:rPr>
        <w:t>Osallistamalla vammaisia ihmisiä ja heitä edustavia järjestöjä valmisteluun ja keräämällä systemaattisesti tietoa esimerkiksi sosiaali- ja terveyspalvelujen sekä taksipalvelujen palautejärjestelmistä. Vaikutusten arvioinnissa voisi myös avata esityksen suhdetta yhdenvertaisuuslain kohtuullisiin mukautuksiin.</w:t>
      </w:r>
    </w:p>
    <w:p w:rsidR="00422068" w:rsidRDefault="00422068" w:rsidP="00422068">
      <w:pPr>
        <w:spacing w:line="240" w:lineRule="auto"/>
        <w:ind w:left="0"/>
        <w:jc w:val="both"/>
        <w:rPr>
          <w:i/>
          <w:color w:val="auto"/>
          <w:szCs w:val="22"/>
          <w:lang w:val="fi-FI"/>
        </w:rPr>
      </w:pPr>
    </w:p>
    <w:p w:rsidR="00422068" w:rsidRPr="00422068" w:rsidRDefault="00422068" w:rsidP="00422068">
      <w:pPr>
        <w:spacing w:line="240" w:lineRule="auto"/>
        <w:ind w:left="0"/>
        <w:jc w:val="both"/>
        <w:rPr>
          <w:i/>
          <w:color w:val="auto"/>
          <w:szCs w:val="22"/>
          <w:lang w:val="fi-FI"/>
        </w:rPr>
      </w:pPr>
      <w:r w:rsidRPr="00422068">
        <w:rPr>
          <w:i/>
          <w:color w:val="auto"/>
          <w:szCs w:val="22"/>
          <w:lang w:val="fi-FI"/>
        </w:rPr>
        <w:lastRenderedPageBreak/>
        <w:t>9.Mahdolliset pykäläkohtaiset huomiot asiakkaansuojasääntelyn osalta (mukaan lukien perustelut)?</w:t>
      </w:r>
    </w:p>
    <w:p w:rsidR="00422068" w:rsidRDefault="00422068" w:rsidP="00532CDF">
      <w:pPr>
        <w:spacing w:line="240" w:lineRule="auto"/>
        <w:ind w:left="1304"/>
        <w:jc w:val="both"/>
        <w:rPr>
          <w:color w:val="auto"/>
          <w:szCs w:val="22"/>
          <w:lang w:val="fi-FI"/>
        </w:rPr>
      </w:pPr>
      <w:r w:rsidRPr="00422068">
        <w:rPr>
          <w:color w:val="auto"/>
          <w:szCs w:val="22"/>
          <w:lang w:val="fi-FI"/>
        </w:rPr>
        <w:t>KSL 9 a luvun 4 §:n palveluiden suoritustapaa ja laatua koskevien vaatimusten sääntelyssä voisi vammaisten ihmisten aseman huomiointia vahvistaa. Tämä tarkoittaa vammaisten ihmisten syrjimättömyyttä kaikissa kuluttajapalveluissa. Vammaisilta ihmisiltä on tullut palautetta mm. kulttuuripalveluista, että lipun varaamiset pyörätuolipaikoille eivät aina onnistu ilman lisämaksua tai aistivammaiset eivät pysty ostamaan lippuja lainkaan netin välityksellä, jolloin liput maksavat enemmän.</w:t>
      </w:r>
    </w:p>
    <w:p w:rsidR="00422068" w:rsidRPr="00422068" w:rsidRDefault="00422068" w:rsidP="00422068">
      <w:pPr>
        <w:spacing w:line="240" w:lineRule="auto"/>
        <w:ind w:left="0"/>
        <w:jc w:val="both"/>
        <w:rPr>
          <w:i/>
          <w:color w:val="auto"/>
          <w:szCs w:val="22"/>
          <w:lang w:val="fi-FI"/>
        </w:rPr>
      </w:pPr>
      <w:r w:rsidRPr="00422068">
        <w:rPr>
          <w:i/>
          <w:color w:val="auto"/>
          <w:szCs w:val="22"/>
          <w:lang w:val="fi-FI"/>
        </w:rPr>
        <w:t>10.Muita kommentteja asiakkaansuojasääntelyn osalta?</w:t>
      </w:r>
    </w:p>
    <w:p w:rsidR="00422068" w:rsidRPr="00422068" w:rsidRDefault="00422068" w:rsidP="00422068">
      <w:pPr>
        <w:spacing w:line="240" w:lineRule="auto"/>
        <w:ind w:left="1304"/>
        <w:jc w:val="both"/>
        <w:rPr>
          <w:color w:val="auto"/>
          <w:szCs w:val="22"/>
          <w:lang w:val="fi-FI"/>
        </w:rPr>
      </w:pPr>
      <w:r w:rsidRPr="00422068">
        <w:rPr>
          <w:color w:val="auto"/>
          <w:szCs w:val="22"/>
          <w:lang w:val="fi-FI"/>
        </w:rPr>
        <w:t>YK:n vammaisyleiss</w:t>
      </w:r>
      <w:r>
        <w:rPr>
          <w:color w:val="auto"/>
          <w:szCs w:val="22"/>
          <w:lang w:val="fi-FI"/>
        </w:rPr>
        <w:t xml:space="preserve">opimuksessa todetaan (art 4(3): </w:t>
      </w:r>
      <w:r w:rsidRPr="00422068">
        <w:rPr>
          <w:i/>
          <w:color w:val="auto"/>
          <w:szCs w:val="22"/>
          <w:lang w:val="fi-FI"/>
        </w:rPr>
        <w:t xml:space="preserve">Laadittaessa ja toimeenpantaessa lainsäädäntöä ja politiikkoja, joilla tätä yleissopimusta pannaan täytäntöön, sekä muissa vammaisia henkilöitä koskevissa </w:t>
      </w:r>
      <w:r w:rsidRPr="00422068">
        <w:rPr>
          <w:i/>
          <w:color w:val="auto"/>
          <w:szCs w:val="22"/>
          <w:lang w:val="fi-FI"/>
        </w:rPr>
        <w:t>päätöksentekoprosesseissa sopimuspuolten</w:t>
      </w:r>
      <w:r w:rsidRPr="00422068">
        <w:rPr>
          <w:i/>
          <w:color w:val="auto"/>
          <w:szCs w:val="22"/>
          <w:lang w:val="fi-FI"/>
        </w:rPr>
        <w:t xml:space="preserve"> tulee neuvotella tiiviisti vammaisten henkilöiden kanssa ja aktiivisesti osallistaa heidät, mukaan lukien vammaiset lapset, heitä e</w:t>
      </w:r>
      <w:r w:rsidRPr="00422068">
        <w:rPr>
          <w:i/>
          <w:color w:val="auto"/>
          <w:szCs w:val="22"/>
          <w:lang w:val="fi-FI"/>
        </w:rPr>
        <w:t>dustavien järjestöjen kautta. ”</w:t>
      </w:r>
    </w:p>
    <w:p w:rsidR="00422068" w:rsidRDefault="00422068" w:rsidP="00532CDF">
      <w:pPr>
        <w:spacing w:line="240" w:lineRule="auto"/>
        <w:ind w:left="1304"/>
        <w:jc w:val="both"/>
        <w:rPr>
          <w:color w:val="auto"/>
          <w:szCs w:val="22"/>
          <w:lang w:val="fi-FI"/>
        </w:rPr>
      </w:pPr>
      <w:r w:rsidRPr="00422068">
        <w:rPr>
          <w:color w:val="auto"/>
          <w:szCs w:val="22"/>
          <w:lang w:val="fi-FI"/>
        </w:rPr>
        <w:t>Myös ko. ehdotusten laadinnassa olisi ollut syytä huolehtia vammaisten ihmisten osallistamisesta sopimuksen mukaisesti.</w:t>
      </w:r>
    </w:p>
    <w:p w:rsidR="00422068" w:rsidRDefault="00422068" w:rsidP="00532CDF">
      <w:pPr>
        <w:spacing w:line="240" w:lineRule="auto"/>
        <w:ind w:left="1304"/>
        <w:jc w:val="both"/>
        <w:rPr>
          <w:color w:val="auto"/>
          <w:szCs w:val="22"/>
          <w:lang w:val="fi-FI"/>
        </w:rPr>
      </w:pPr>
    </w:p>
    <w:p w:rsidR="00E13907"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rsidR="00A82A70" w:rsidRDefault="00A82A70" w:rsidP="00532CDF">
      <w:pPr>
        <w:spacing w:line="240" w:lineRule="auto"/>
        <w:ind w:left="1304"/>
        <w:jc w:val="both"/>
        <w:rPr>
          <w:color w:val="auto"/>
          <w:szCs w:val="22"/>
          <w:lang w:val="fi-FI"/>
        </w:rPr>
      </w:pPr>
    </w:p>
    <w:p w:rsidR="000067D7" w:rsidRDefault="000067D7" w:rsidP="00532CDF">
      <w:pPr>
        <w:spacing w:line="240" w:lineRule="auto"/>
        <w:ind w:left="1304"/>
        <w:jc w:val="both"/>
        <w:rPr>
          <w:color w:val="auto"/>
          <w:szCs w:val="22"/>
          <w:lang w:val="fi-FI"/>
        </w:rPr>
      </w:pPr>
      <w:bookmarkStart w:id="0" w:name="_GoBack"/>
      <w:bookmarkEnd w:id="0"/>
    </w:p>
    <w:p w:rsidR="00A82A70" w:rsidRDefault="00A82A70" w:rsidP="00532CDF">
      <w:pPr>
        <w:spacing w:line="240" w:lineRule="auto"/>
        <w:ind w:left="1304"/>
        <w:jc w:val="both"/>
        <w:rPr>
          <w:color w:val="auto"/>
          <w:szCs w:val="22"/>
          <w:lang w:val="fi-FI"/>
        </w:rPr>
      </w:pPr>
      <w:r>
        <w:rPr>
          <w:color w:val="auto"/>
          <w:szCs w:val="22"/>
          <w:lang w:val="fi-FI"/>
        </w:rPr>
        <w:t xml:space="preserve">Riitta Burrell </w:t>
      </w:r>
      <w:r>
        <w:rPr>
          <w:color w:val="auto"/>
          <w:szCs w:val="22"/>
          <w:lang w:val="fi-FI"/>
        </w:rPr>
        <w:tab/>
      </w:r>
      <w:r>
        <w:rPr>
          <w:color w:val="auto"/>
          <w:szCs w:val="22"/>
          <w:lang w:val="fi-FI"/>
        </w:rPr>
        <w:tab/>
        <w:t>Merja Heikkonen</w:t>
      </w:r>
    </w:p>
    <w:p w:rsidR="00A82A70" w:rsidRPr="00532CDF" w:rsidRDefault="00A82A70" w:rsidP="00532CDF">
      <w:pPr>
        <w:spacing w:line="240" w:lineRule="auto"/>
        <w:ind w:left="1304"/>
        <w:jc w:val="both"/>
        <w:rPr>
          <w:color w:val="auto"/>
          <w:szCs w:val="22"/>
          <w:lang w:val="fi-FI"/>
        </w:rPr>
      </w:pPr>
      <w:r>
        <w:rPr>
          <w:color w:val="auto"/>
          <w:szCs w:val="22"/>
          <w:lang w:val="fi-FI"/>
        </w:rPr>
        <w:t>puheenjohtaja</w:t>
      </w:r>
      <w:r>
        <w:rPr>
          <w:color w:val="auto"/>
          <w:szCs w:val="22"/>
          <w:lang w:val="fi-FI"/>
        </w:rPr>
        <w:tab/>
        <w:t>pääsihteeri</w:t>
      </w:r>
    </w:p>
    <w:sectPr w:rsidR="00A82A70" w:rsidRPr="00532CD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8D" w:rsidRDefault="00D1578D" w:rsidP="006A5311">
      <w:pPr>
        <w:spacing w:after="0" w:line="240" w:lineRule="auto"/>
      </w:pPr>
      <w:r>
        <w:separator/>
      </w:r>
    </w:p>
    <w:p w:rsidR="00D1578D" w:rsidRDefault="00D1578D"/>
  </w:endnote>
  <w:endnote w:type="continuationSeparator" w:id="0">
    <w:p w:rsidR="00D1578D" w:rsidRDefault="00D1578D" w:rsidP="006A5311">
      <w:pPr>
        <w:spacing w:after="0" w:line="240" w:lineRule="auto"/>
      </w:pPr>
      <w:r>
        <w:continuationSeparator/>
      </w:r>
    </w:p>
    <w:p w:rsidR="00D1578D" w:rsidRDefault="00D1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8D" w:rsidRDefault="00D1578D" w:rsidP="006A5311">
      <w:pPr>
        <w:spacing w:after="0" w:line="240" w:lineRule="auto"/>
      </w:pPr>
      <w:r>
        <w:separator/>
      </w:r>
    </w:p>
    <w:p w:rsidR="00D1578D" w:rsidRDefault="00D1578D"/>
  </w:footnote>
  <w:footnote w:type="continuationSeparator" w:id="0">
    <w:p w:rsidR="00D1578D" w:rsidRDefault="00D1578D" w:rsidP="006A5311">
      <w:pPr>
        <w:spacing w:after="0" w:line="240" w:lineRule="auto"/>
      </w:pPr>
      <w:r>
        <w:continuationSeparator/>
      </w:r>
    </w:p>
    <w:p w:rsidR="00D1578D" w:rsidRDefault="00D157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735AB7">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735AB7">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735AB7">
      <w:rPr>
        <w:noProof/>
      </w:rPr>
      <w:t>3</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735AB7"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4C3892">
      <w:rPr>
        <w:lang w:val="fi-FI"/>
      </w:rPr>
      <w:t>23</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3C8622DD"/>
    <w:multiLevelType w:val="hybridMultilevel"/>
    <w:tmpl w:val="EACC2632"/>
    <w:lvl w:ilvl="0" w:tplc="A2D0867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67D7"/>
    <w:rsid w:val="0001250B"/>
    <w:rsid w:val="00052C36"/>
    <w:rsid w:val="00054D27"/>
    <w:rsid w:val="00065071"/>
    <w:rsid w:val="00090438"/>
    <w:rsid w:val="000C7B40"/>
    <w:rsid w:val="000F5BB5"/>
    <w:rsid w:val="001212FF"/>
    <w:rsid w:val="00134657"/>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421E9"/>
    <w:rsid w:val="003514DE"/>
    <w:rsid w:val="00380EB8"/>
    <w:rsid w:val="00387A7A"/>
    <w:rsid w:val="003F1760"/>
    <w:rsid w:val="003F3E2D"/>
    <w:rsid w:val="004012E6"/>
    <w:rsid w:val="004028E0"/>
    <w:rsid w:val="00422068"/>
    <w:rsid w:val="00432CCB"/>
    <w:rsid w:val="00441C26"/>
    <w:rsid w:val="00451AFF"/>
    <w:rsid w:val="0045296D"/>
    <w:rsid w:val="004A14F8"/>
    <w:rsid w:val="004C002A"/>
    <w:rsid w:val="004C3892"/>
    <w:rsid w:val="004F2268"/>
    <w:rsid w:val="00505C9E"/>
    <w:rsid w:val="00532CDF"/>
    <w:rsid w:val="005338AE"/>
    <w:rsid w:val="0053508D"/>
    <w:rsid w:val="005522AB"/>
    <w:rsid w:val="005C5275"/>
    <w:rsid w:val="005E02E4"/>
    <w:rsid w:val="00696B53"/>
    <w:rsid w:val="006A5311"/>
    <w:rsid w:val="006C314E"/>
    <w:rsid w:val="006D77F9"/>
    <w:rsid w:val="007054A1"/>
    <w:rsid w:val="00707577"/>
    <w:rsid w:val="00735AB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528B"/>
    <w:rsid w:val="00A12F4D"/>
    <w:rsid w:val="00A22136"/>
    <w:rsid w:val="00A437B4"/>
    <w:rsid w:val="00A6633B"/>
    <w:rsid w:val="00A82A70"/>
    <w:rsid w:val="00AA767C"/>
    <w:rsid w:val="00AB14C8"/>
    <w:rsid w:val="00AC1747"/>
    <w:rsid w:val="00B23DED"/>
    <w:rsid w:val="00B563D7"/>
    <w:rsid w:val="00BF4ADF"/>
    <w:rsid w:val="00C12148"/>
    <w:rsid w:val="00C17156"/>
    <w:rsid w:val="00C173EA"/>
    <w:rsid w:val="00C23EB3"/>
    <w:rsid w:val="00C359CD"/>
    <w:rsid w:val="00C64B8C"/>
    <w:rsid w:val="00C83653"/>
    <w:rsid w:val="00C90130"/>
    <w:rsid w:val="00CA35AF"/>
    <w:rsid w:val="00CD07DA"/>
    <w:rsid w:val="00CD3DD6"/>
    <w:rsid w:val="00D1578D"/>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C712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9CE0-CDCC-4B84-8110-6528B6DF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5996</Characters>
  <Application>Microsoft Office Word</Application>
  <DocSecurity>0</DocSecurity>
  <Lines>49</Lines>
  <Paragraphs>13</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2</cp:revision>
  <cp:lastPrinted>2018-03-02T06:56:00Z</cp:lastPrinted>
  <dcterms:created xsi:type="dcterms:W3CDTF">2020-06-23T10:49:00Z</dcterms:created>
  <dcterms:modified xsi:type="dcterms:W3CDTF">2020-06-23T10:49:00Z</dcterms:modified>
</cp:coreProperties>
</file>