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E" w:rsidRPr="00271E49" w:rsidRDefault="00C53923" w:rsidP="00271E4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CB2687" w:rsidRDefault="00C813A4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Eduskunta / </w:t>
      </w:r>
      <w:r w:rsidR="006A0F0C">
        <w:rPr>
          <w:color w:val="auto"/>
          <w:szCs w:val="22"/>
          <w:lang w:val="fi-FI"/>
        </w:rPr>
        <w:t>tarkastusvaliokunta</w:t>
      </w:r>
    </w:p>
    <w:p w:rsidR="006A0F0C" w:rsidRDefault="006A0F0C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trv@eduskunta.fi</w:t>
      </w:r>
    </w:p>
    <w:p w:rsidR="00CB2687" w:rsidRDefault="00CB268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</w:p>
    <w:p w:rsidR="006A0F0C" w:rsidRDefault="00CB2687" w:rsidP="00C813A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 w:rsidRPr="00CB2687">
        <w:rPr>
          <w:color w:val="auto"/>
          <w:szCs w:val="22"/>
          <w:lang w:val="fi-FI"/>
        </w:rPr>
        <w:t xml:space="preserve">Asia: </w:t>
      </w:r>
      <w:r w:rsidR="006A0F0C" w:rsidRPr="006A0F0C">
        <w:rPr>
          <w:color w:val="auto"/>
          <w:szCs w:val="22"/>
          <w:lang w:val="fi-FI"/>
        </w:rPr>
        <w:t>Säädösehdotusten vaikutusarviointi, asiantuntijakuuleminen 24.3.2021</w:t>
      </w:r>
    </w:p>
    <w:p w:rsidR="00CB2687" w:rsidRDefault="00CB2687" w:rsidP="00C813A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Vammaisten henkilöiden oikeuksien neuvottelukunta VANE on valtioneuvoston asettama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neuvottelukunta, joka toimii YK:n vammaisten henkilöiden oikeuksista tehdyn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>yleissopimuksen (</w:t>
      </w:r>
      <w:proofErr w:type="spellStart"/>
      <w:r w:rsidR="006A0F0C" w:rsidRPr="006A0F0C">
        <w:rPr>
          <w:color w:val="auto"/>
          <w:szCs w:val="22"/>
          <w:lang w:val="fi-FI"/>
        </w:rPr>
        <w:t>SopS</w:t>
      </w:r>
      <w:proofErr w:type="spellEnd"/>
      <w:r w:rsidR="006A0F0C" w:rsidRPr="006A0F0C">
        <w:rPr>
          <w:color w:val="auto"/>
          <w:szCs w:val="22"/>
          <w:lang w:val="fi-FI"/>
        </w:rPr>
        <w:t xml:space="preserve"> 26 ja 27/2016; YK:n vammaisyleissopimus) kansallisena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koordinaatiomekanismina. Vammaisyleissopimus on Suomessa osa velvoittavaa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>lainsäädäntöä. VANE tarkastelee asiaa vammaisyleissopimuksen näkökulmasta.</w:t>
      </w:r>
    </w:p>
    <w:p w:rsidR="006A0F0C" w:rsidRPr="00CB2687" w:rsidRDefault="006A0F0C" w:rsidP="00C813A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Seuraavassa ensin taustaksi joitakin asian kannalta keskeisiä nostoja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vammaisyleissopimuksesta, sen jälkeen tehdyn tutkimuksen (Miten vaikutusten arviointia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voitaisiin parantaa? Vaikutusarviointi ja sen kehittämistarpeet suomalaisessa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>lainvalmistelussa, Eduskunnan tarkastusvaliokunnan julkaisu 1/2020,</w:t>
      </w:r>
      <w:r>
        <w:rPr>
          <w:color w:val="auto"/>
          <w:szCs w:val="22"/>
          <w:lang w:val="fi-FI"/>
        </w:rPr>
        <w:t xml:space="preserve"> </w:t>
      </w:r>
      <w:r>
        <w:rPr>
          <w:color w:val="auto"/>
          <w:szCs w:val="22"/>
          <w:lang w:val="fi-FI"/>
        </w:rPr>
        <w:tab/>
      </w:r>
      <w:hyperlink r:id="rId8" w:history="1">
        <w:r w:rsidRPr="006A0F0C">
          <w:rPr>
            <w:rStyle w:val="Hyperlinkki"/>
            <w:szCs w:val="22"/>
            <w:lang w:val="fi-FI"/>
          </w:rPr>
          <w:t>https://www.eduskunta.fi/FI/naineduskuntatoimii/julkaisut/Documents/trvj_1+2020.pdf</w:t>
        </w:r>
      </w:hyperlink>
      <w:r>
        <w:rPr>
          <w:color w:val="auto"/>
          <w:szCs w:val="22"/>
          <w:lang w:val="fi-FI"/>
        </w:rPr>
        <w:t xml:space="preserve">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pohjalta arviointia vaikutustenarvioinnin toteutumisesta vammaisten ihmisten näkökulmasta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>ja lopuksi näkemyksiä parannusehdotuksista.</w:t>
      </w:r>
    </w:p>
    <w:p w:rsidR="00091FFF" w:rsidRPr="00CB2687" w:rsidRDefault="006A0F0C" w:rsidP="00CB2687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Nostoja YK:n vammaisyleissopimuksesta vaikutustenarviointiin liittyen</w:t>
      </w:r>
    </w:p>
    <w:p w:rsidR="00C813A4" w:rsidRDefault="00CB2687" w:rsidP="00C813A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Jotta vammaiset ihmiset ja heidän erityistarpeensa osattaisiin ottaa oikeissa yhteyksissä ja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riittävällä tavalla huomioon lainsäädännön vaikutusten arvioinnissa, on edellytyksenä, että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lainlaatijat ovat tietoisia vammaisten ihmisten asemasta ja oikeuksista ja heillä on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mahdollisuus hankkia riittävä vammaisiin ihmisiin liittyvä tietopohja vaikutusten arvioimiseksi.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 xml:space="preserve">YK:n vammaisyleissopimuksen velvoitteet tukevat monella tapaa näiden edellytysten </w:t>
      </w:r>
      <w:r w:rsidR="006A0F0C">
        <w:rPr>
          <w:color w:val="auto"/>
          <w:szCs w:val="22"/>
          <w:lang w:val="fi-FI"/>
        </w:rPr>
        <w:tab/>
      </w:r>
      <w:r w:rsidR="006A0F0C" w:rsidRPr="006A0F0C">
        <w:rPr>
          <w:color w:val="auto"/>
          <w:szCs w:val="22"/>
          <w:lang w:val="fi-FI"/>
        </w:rPr>
        <w:t>toteutumista ja velvoitteet on syytä huomioida vaikutustenarvioinnin kehitystyössä.</w:t>
      </w:r>
    </w:p>
    <w:p w:rsidR="006A0F0C" w:rsidRDefault="006A0F0C" w:rsidP="00C813A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YK:n vammaisyleissopimuksen läpileikkaavia periaatteita ovat mm. osallisuus ja </w:t>
      </w:r>
      <w:r>
        <w:rPr>
          <w:color w:val="auto"/>
          <w:szCs w:val="22"/>
          <w:lang w:val="fi-FI"/>
        </w:rPr>
        <w:tab/>
      </w:r>
      <w:proofErr w:type="spellStart"/>
      <w:r w:rsidRPr="006A0F0C">
        <w:rPr>
          <w:color w:val="auto"/>
          <w:szCs w:val="22"/>
          <w:lang w:val="fi-FI"/>
        </w:rPr>
        <w:t>valtavirtaistaminen</w:t>
      </w:r>
      <w:proofErr w:type="spellEnd"/>
      <w:r w:rsidRPr="006A0F0C">
        <w:rPr>
          <w:color w:val="auto"/>
          <w:szCs w:val="22"/>
          <w:lang w:val="fi-FI"/>
        </w:rPr>
        <w:t xml:space="preserve">. Vammaisyleissopimuksen mukaan on vammaiset ihmiset </w:t>
      </w:r>
      <w:proofErr w:type="spellStart"/>
      <w:r w:rsidRPr="006A0F0C">
        <w:rPr>
          <w:color w:val="auto"/>
          <w:szCs w:val="22"/>
          <w:lang w:val="fi-FI"/>
        </w:rPr>
        <w:t>osallistettava</w:t>
      </w:r>
      <w:proofErr w:type="spellEnd"/>
      <w:r w:rsidRPr="006A0F0C">
        <w:rPr>
          <w:color w:val="auto"/>
          <w:szCs w:val="22"/>
          <w:lang w:val="fi-FI"/>
        </w:rPr>
        <w:t xml:space="preserve">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täysimääräisesti mm.  vammaisia ihmisiä koskevaan lainsäädännön laadintaan ja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toimeenpanoon (4 </w:t>
      </w:r>
      <w:proofErr w:type="spellStart"/>
      <w:r w:rsidRPr="006A0F0C">
        <w:rPr>
          <w:color w:val="auto"/>
          <w:szCs w:val="22"/>
          <w:lang w:val="fi-FI"/>
        </w:rPr>
        <w:t>art</w:t>
      </w:r>
      <w:proofErr w:type="spellEnd"/>
      <w:r w:rsidRPr="006A0F0C">
        <w:rPr>
          <w:color w:val="auto"/>
          <w:szCs w:val="22"/>
          <w:lang w:val="fi-FI"/>
        </w:rPr>
        <w:t xml:space="preserve">, yleiset velvoitteet). Velvoite koskee yhdenmukaisesti kaikkia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hallinnonaloja ja tasoja. Vammaiskysymys onkin mitä suurimmassa määrin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poikkihallinnollinen. Vammaissopimus sisältää myös lukuisia suoraan hallinnonaloihin liittyviä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ns. substanssiartikloja, kuten terveyteen, työllisyyteen tai koulutukseen liittyen, joihin Suomi </w:t>
      </w: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>on niin ikään sopimusvaltiona sitoutunut.</w:t>
      </w:r>
    </w:p>
    <w:p w:rsidR="006A0F0C" w:rsidRDefault="006A0F0C" w:rsidP="00C813A4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Vammaisyleissopimuksen 8 artikla käsittelee tietoisuuden lisäämistä ja artiklassa todetaan </w:t>
      </w:r>
      <w:r w:rsidR="00BE3BAF"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>mm</w:t>
      </w:r>
      <w:r w:rsidRPr="00BE3BAF">
        <w:rPr>
          <w:i/>
          <w:color w:val="auto"/>
          <w:szCs w:val="22"/>
          <w:lang w:val="fi-FI"/>
        </w:rPr>
        <w:t>.:</w:t>
      </w:r>
      <w:r w:rsidR="00BE3BAF">
        <w:rPr>
          <w:i/>
          <w:color w:val="auto"/>
          <w:szCs w:val="22"/>
          <w:lang w:val="fi-FI"/>
        </w:rPr>
        <w:t xml:space="preserve"> </w:t>
      </w:r>
      <w:r w:rsidRPr="00BE3BAF">
        <w:rPr>
          <w:i/>
          <w:color w:val="auto"/>
          <w:szCs w:val="22"/>
          <w:lang w:val="fi-FI"/>
        </w:rPr>
        <w:t xml:space="preserve">” 1. Sopimuspuolet ryhtyvät toteuttamaan välittömiä, tehokkaita ja asianmukaisia toimia, </w:t>
      </w:r>
      <w:r w:rsidR="00BE3BAF">
        <w:rPr>
          <w:i/>
          <w:color w:val="auto"/>
          <w:szCs w:val="22"/>
          <w:lang w:val="fi-FI"/>
        </w:rPr>
        <w:tab/>
      </w:r>
      <w:r w:rsidRPr="00BE3BAF">
        <w:rPr>
          <w:i/>
          <w:color w:val="auto"/>
          <w:szCs w:val="22"/>
          <w:lang w:val="fi-FI"/>
        </w:rPr>
        <w:t>joilla: a) lisätään tietoisuutta vammaisista henkilöistä koko yhteiskunnassa…”</w:t>
      </w:r>
      <w:r w:rsidRPr="006A0F0C">
        <w:rPr>
          <w:color w:val="auto"/>
          <w:szCs w:val="22"/>
          <w:lang w:val="fi-FI"/>
        </w:rPr>
        <w:t xml:space="preserve">. Sopimuksen 31 </w:t>
      </w:r>
      <w:r w:rsidR="00BE3BAF"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 xml:space="preserve">artikla velvoittaa puolestaan sopimusvaltioita vammaisia koskevan tiedon keruuseen ja </w:t>
      </w:r>
      <w:r w:rsidR="00BE3BAF">
        <w:rPr>
          <w:color w:val="auto"/>
          <w:szCs w:val="22"/>
          <w:lang w:val="fi-FI"/>
        </w:rPr>
        <w:tab/>
      </w:r>
      <w:r w:rsidRPr="006A0F0C">
        <w:rPr>
          <w:color w:val="auto"/>
          <w:szCs w:val="22"/>
          <w:lang w:val="fi-FI"/>
        </w:rPr>
        <w:t>tilastointiin:</w:t>
      </w:r>
      <w:r w:rsidR="00BE3BAF">
        <w:rPr>
          <w:color w:val="auto"/>
          <w:szCs w:val="22"/>
          <w:lang w:val="fi-FI"/>
        </w:rPr>
        <w:t xml:space="preserve"> </w:t>
      </w:r>
      <w:r w:rsidRPr="00BE3BAF">
        <w:rPr>
          <w:i/>
          <w:color w:val="auto"/>
          <w:szCs w:val="22"/>
          <w:lang w:val="fi-FI"/>
        </w:rPr>
        <w:t xml:space="preserve">”1. Sopimuspuolet sitoutuvat kokoamaan asianmukaista tietoa, muun muassa </w:t>
      </w:r>
      <w:r w:rsidR="00BE3BAF">
        <w:rPr>
          <w:i/>
          <w:color w:val="auto"/>
          <w:szCs w:val="22"/>
          <w:lang w:val="fi-FI"/>
        </w:rPr>
        <w:tab/>
      </w:r>
      <w:r w:rsidRPr="00BE3BAF">
        <w:rPr>
          <w:i/>
          <w:color w:val="auto"/>
          <w:szCs w:val="22"/>
          <w:lang w:val="fi-FI"/>
        </w:rPr>
        <w:t>tilasto-</w:t>
      </w:r>
      <w:r w:rsidR="00BE3BAF">
        <w:rPr>
          <w:i/>
          <w:color w:val="auto"/>
          <w:szCs w:val="22"/>
          <w:lang w:val="fi-FI"/>
        </w:rPr>
        <w:t xml:space="preserve"> </w:t>
      </w:r>
      <w:r w:rsidRPr="00BE3BAF">
        <w:rPr>
          <w:i/>
          <w:color w:val="auto"/>
          <w:szCs w:val="22"/>
          <w:lang w:val="fi-FI"/>
        </w:rPr>
        <w:t xml:space="preserve">ja tutkimustietoa, jonka pohjalta ne voivat muodostaa ja toteuttaa menettelytapoja </w:t>
      </w:r>
      <w:r w:rsidR="00BE3BAF">
        <w:rPr>
          <w:i/>
          <w:color w:val="auto"/>
          <w:szCs w:val="22"/>
          <w:lang w:val="fi-FI"/>
        </w:rPr>
        <w:tab/>
      </w:r>
      <w:r w:rsidRPr="00BE3BAF">
        <w:rPr>
          <w:i/>
          <w:color w:val="auto"/>
          <w:szCs w:val="22"/>
          <w:lang w:val="fi-FI"/>
        </w:rPr>
        <w:t>tämän yleissopimuksen soveltamiseksi.”</w:t>
      </w:r>
    </w:p>
    <w:p w:rsidR="00C813A4" w:rsidRPr="00BE3BAF" w:rsidRDefault="00BE3BAF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Vammaisyle</w:t>
      </w:r>
      <w:r>
        <w:rPr>
          <w:color w:val="auto"/>
          <w:szCs w:val="22"/>
          <w:lang w:val="fi-FI"/>
        </w:rPr>
        <w:t xml:space="preserve">issopimuksen mukaan vammaisten </w:t>
      </w:r>
      <w:r w:rsidRPr="00BE3BAF">
        <w:rPr>
          <w:color w:val="auto"/>
          <w:szCs w:val="22"/>
          <w:lang w:val="fi-FI"/>
        </w:rPr>
        <w:t xml:space="preserve">ihmisten yhdenvertaisuuden saavuttaminen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edellyttää toisinaan myös positiivista erityiskohtelua ja yksilöllisissä tilanteissa voidaan tarvita </w:t>
      </w:r>
      <w:r>
        <w:rPr>
          <w:color w:val="auto"/>
          <w:szCs w:val="22"/>
          <w:lang w:val="fi-FI"/>
        </w:rPr>
        <w:lastRenderedPageBreak/>
        <w:tab/>
      </w:r>
      <w:r w:rsidRPr="00BE3BAF">
        <w:rPr>
          <w:color w:val="auto"/>
          <w:szCs w:val="22"/>
          <w:lang w:val="fi-FI"/>
        </w:rPr>
        <w:t xml:space="preserve">myös kohtuullisia mukautuksia. Näissä tilanteissa ei ole kuitenkaan kyse syrjinnästä muita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ihmisiä kohtaan, vaan tosiasiallisen yhdenvertaisuuden turvaamisesta.</w:t>
      </w:r>
    </w:p>
    <w:p w:rsidR="00BE3BAF" w:rsidRDefault="00BE3BAF" w:rsidP="00B157A8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proofErr w:type="spellStart"/>
      <w:r w:rsidRPr="00BE3BAF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VANEn</w:t>
      </w:r>
      <w:proofErr w:type="spellEnd"/>
      <w:r w:rsidRPr="00BE3BAF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 xml:space="preserve"> näkemyksiä vaikutusten arviointien laadusta ja kattavuudesta (miten hyvin esitetty ja perusteltu?)</w:t>
      </w:r>
    </w:p>
    <w:p w:rsidR="00DD3D50" w:rsidRDefault="00FC57A3" w:rsidP="00B157A8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VANE käy vuosittain läpi kymmeniä hallituksen esityksiä ja antaa niistä lausuntonsa. Lausunnot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koskevat lähes kaikkia hallinnonaloja. Tämän kokemuksen pohjalta VANE yhtyy pitkälle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valiokunnan teetättämän tutkimuksen havaintoihin. Vaikutustenarvioinneissa keskitytään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useimmiten tarkemmin taloudellisiin ja viranomaisvaikutuksiin, kun sen sijaan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ympäristövaikutukset ja muut yhteiskunnalliset vaikutukset jäävät vähemmälle huomiolle.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Vammaisten ihmisten kannalta kuitenkin useimmiten jälkimmäiset vaikutusarviot voisivat olla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hyvin merkityksellisiä ja tarpeellisia, kuten esimerkiksi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>esteettömyys/tietoyhteiskuntakysymykset, palvelujen saatavuus tai työllisyysvaikutukset.</w:t>
      </w:r>
    </w:p>
    <w:p w:rsidR="00BE3BAF" w:rsidRPr="00BE3BAF" w:rsidRDefault="00C813A4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Kaiken kaikkiaan esitysten vaikutuksia vammaisiin ihmisiin arvioidaan harvoin, vaikka tilanne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onkin joiltain osilta vuosien mittaan parantunut. Vammaisvaikutusten arviointi vaihtelee myös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 xml:space="preserve">hallinnonaloittain. Toisinaan vammaisvaikutusten arvioinnissa on ollut havaittavissa myös </w:t>
      </w:r>
      <w:r w:rsidR="00BE3BAF">
        <w:rPr>
          <w:color w:val="auto"/>
          <w:szCs w:val="22"/>
          <w:lang w:val="fi-FI"/>
        </w:rPr>
        <w:tab/>
      </w:r>
      <w:r w:rsidR="00BE3BAF" w:rsidRPr="00BE3BAF">
        <w:rPr>
          <w:color w:val="auto"/>
          <w:szCs w:val="22"/>
          <w:lang w:val="fi-FI"/>
        </w:rPr>
        <w:t>vastakkainasettelua esim. vammaisten oikeudet/yritysten velvoitteet.</w:t>
      </w:r>
    </w:p>
    <w:p w:rsid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Vammaisten ihmisten osallistaminen on vammaisyleissopimuksen ratifioinnin jälkeen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lisääntynyt, mutta sekin on velvoittavuudesta huolimatta ministeriö- ja valmistelijakohtaista.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Vammaisyleissopimuksen kansalliseen toimintaohjelmaan 2020-23 onkin yhdeksi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ministeriöiden yhteiseksi tavoitteeksi kirjattu vammaisten osallistamisen systematisointi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pisteittäisen toiminnan ja yksittäiskuulemisten sijaan. Toki </w:t>
      </w:r>
      <w:proofErr w:type="spellStart"/>
      <w:r w:rsidRPr="00BE3BAF">
        <w:rPr>
          <w:color w:val="auto"/>
          <w:szCs w:val="22"/>
          <w:lang w:val="fi-FI"/>
        </w:rPr>
        <w:t>VANEssakin</w:t>
      </w:r>
      <w:proofErr w:type="spellEnd"/>
      <w:r w:rsidRPr="00BE3BAF">
        <w:rPr>
          <w:color w:val="auto"/>
          <w:szCs w:val="22"/>
          <w:lang w:val="fi-FI"/>
        </w:rPr>
        <w:t xml:space="preserve"> on tiedostettu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lainvalmistelun resurssipula, yksin työskentely ja kiireiset aikataulut.</w:t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Vammaisvaikutusten arviointia vaikeuttavat myös tietopohjan puutteet. Esimerkiksi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vammaisten työllisyydestä on vain yksittäisiä otantatutkimuksia ja arvioita, mutta ei täsmällisiä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tilastoja, koska vammaiset ihmiset ”piiloutuvat” osatyökykyisten ryhmään. Samoin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koulutuksen osalta tilastoidaan tuen tarvetta, mutta ei vammaisia oppilaita tai opiskelijoita.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Parhaiten tietoa on saatavilla </w:t>
      </w:r>
      <w:proofErr w:type="spellStart"/>
      <w:r w:rsidRPr="00BE3BAF">
        <w:rPr>
          <w:color w:val="auto"/>
          <w:szCs w:val="22"/>
          <w:lang w:val="fi-FI"/>
        </w:rPr>
        <w:t>sosiaali</w:t>
      </w:r>
      <w:proofErr w:type="spellEnd"/>
      <w:r w:rsidRPr="00BE3BAF">
        <w:rPr>
          <w:color w:val="auto"/>
          <w:szCs w:val="22"/>
          <w:lang w:val="fi-FI"/>
        </w:rPr>
        <w:t xml:space="preserve">- ja terveydenhuoltoon liittyen </w:t>
      </w:r>
      <w:proofErr w:type="spellStart"/>
      <w:r w:rsidRPr="00BE3BAF">
        <w:rPr>
          <w:color w:val="auto"/>
          <w:szCs w:val="22"/>
          <w:lang w:val="fi-FI"/>
        </w:rPr>
        <w:t>THL:n</w:t>
      </w:r>
      <w:proofErr w:type="spellEnd"/>
      <w:r w:rsidRPr="00BE3BAF">
        <w:rPr>
          <w:color w:val="auto"/>
          <w:szCs w:val="22"/>
          <w:lang w:val="fi-FI"/>
        </w:rPr>
        <w:t xml:space="preserve"> väestö-, rekisteri- ja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kyselytutkimuksista, mutta niissäkin paljon palveluja tarvitsevien ihmisten kokonaistilanne jää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toisinaan piiloon. </w:t>
      </w:r>
      <w:proofErr w:type="spellStart"/>
      <w:r w:rsidRPr="00BE3BAF">
        <w:rPr>
          <w:color w:val="auto"/>
          <w:szCs w:val="22"/>
          <w:lang w:val="fi-FI"/>
        </w:rPr>
        <w:t>Valtavirtaistaminen</w:t>
      </w:r>
      <w:proofErr w:type="spellEnd"/>
      <w:r w:rsidRPr="00BE3BAF">
        <w:rPr>
          <w:color w:val="auto"/>
          <w:szCs w:val="22"/>
          <w:lang w:val="fi-FI"/>
        </w:rPr>
        <w:t xml:space="preserve"> ei ole vielä riittävästi ulottunut tietopohjan </w:t>
      </w:r>
      <w:r>
        <w:rPr>
          <w:color w:val="auto"/>
          <w:szCs w:val="22"/>
          <w:lang w:val="fi-FI"/>
        </w:rPr>
        <w:tab/>
        <w:t>kartuttamiseen.</w:t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Suurten lainsäädäntöhankkeid</w:t>
      </w:r>
      <w:r w:rsidR="00D75642">
        <w:rPr>
          <w:color w:val="auto"/>
          <w:szCs w:val="22"/>
          <w:lang w:val="fi-FI"/>
        </w:rPr>
        <w:t>en kohdalla vammaiset ihmiset un</w:t>
      </w:r>
      <w:r w:rsidRPr="00BE3BAF">
        <w:rPr>
          <w:color w:val="auto"/>
          <w:szCs w:val="22"/>
          <w:lang w:val="fi-FI"/>
        </w:rPr>
        <w:t xml:space="preserve">ohtuvat helposti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vaikutusarvioinneista. Tutkimuksessa otettiin esiin esimerkkinä taksilainsäädäntöuudistus.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Uudistukse</w:t>
      </w:r>
      <w:r>
        <w:rPr>
          <w:color w:val="auto"/>
          <w:szCs w:val="22"/>
          <w:lang w:val="fi-FI"/>
        </w:rPr>
        <w:t xml:space="preserve">n vaikutus vammaisiin ihmisiin </w:t>
      </w:r>
      <w:r w:rsidRPr="00BE3BAF">
        <w:rPr>
          <w:color w:val="auto"/>
          <w:szCs w:val="22"/>
          <w:lang w:val="fi-FI"/>
        </w:rPr>
        <w:t xml:space="preserve">ohitettiin lähes kokonaan, vaikka useille vammaisille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ihmisille taksien avulla käytännössä järjestetty kuljetuspalvelu on tosiasiassa ainoa tapa liikkua.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Valmistelun jako useampaan osaan vai</w:t>
      </w:r>
      <w:r>
        <w:rPr>
          <w:color w:val="auto"/>
          <w:szCs w:val="22"/>
          <w:lang w:val="fi-FI"/>
        </w:rPr>
        <w:t>keutti myös kokonaisarviointia.</w:t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Myös vammaisvaikutusten jälkiseuranta on vähäistä. Lähinnä siitä on kirjauksia </w:t>
      </w:r>
      <w:proofErr w:type="spellStart"/>
      <w:r w:rsidRPr="00BE3BAF">
        <w:rPr>
          <w:color w:val="auto"/>
          <w:szCs w:val="22"/>
          <w:lang w:val="fi-FI"/>
        </w:rPr>
        <w:t>sosiaali</w:t>
      </w:r>
      <w:proofErr w:type="spellEnd"/>
      <w:r w:rsidRPr="00BE3BAF">
        <w:rPr>
          <w:color w:val="auto"/>
          <w:szCs w:val="22"/>
          <w:lang w:val="fi-FI"/>
        </w:rPr>
        <w:t xml:space="preserve">- ja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terveydenhuollon sääntelyssä, mutta sekin on lähinnä sattumanvaraista.</w:t>
      </w:r>
    </w:p>
    <w:p w:rsidR="00BE3BAF" w:rsidRDefault="00BE3BAF" w:rsidP="00BE3BAF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</w:p>
    <w:p w:rsidR="00BE3BAF" w:rsidRDefault="00BE3BAF" w:rsidP="00BE3BAF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</w:p>
    <w:p w:rsidR="00BE3BAF" w:rsidRDefault="00BE3BAF" w:rsidP="00BE3BAF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lastRenderedPageBreak/>
        <w:t>Mitä tulisi tehdä vaikutusarviointien laadun parantamiseksi?</w:t>
      </w: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ab/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VANE yhtyy myös parannusehdotusten suhteen em. tutkimuksen näkemyksiin. Ohjeistukset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olisi syytä päivittää ja saada niihin vammaisvaikutukset mukaan, tiedonhallintaa tulisi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vahvistaa, arviointineuvoston toimintaa kehittää, säädösjohtamista vahvistaa ja panostaa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e</w:t>
      </w:r>
      <w:r>
        <w:rPr>
          <w:color w:val="auto"/>
          <w:szCs w:val="22"/>
          <w:lang w:val="fi-FI"/>
        </w:rPr>
        <w:t>rityisesti suuriin hankkeisiin.</w:t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VANE katsoo, että vammaisvaikutusten arviointi tulisi nostaa samaan asemaan kuin lasten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(LAVA) ja tasa-arvokysymysten kohdalla on toimittu. </w:t>
      </w:r>
      <w:proofErr w:type="spellStart"/>
      <w:r w:rsidRPr="00BE3BAF">
        <w:rPr>
          <w:color w:val="auto"/>
          <w:szCs w:val="22"/>
          <w:lang w:val="fi-FI"/>
        </w:rPr>
        <w:t>THL:n</w:t>
      </w:r>
      <w:proofErr w:type="spellEnd"/>
      <w:r w:rsidRPr="00BE3BAF">
        <w:rPr>
          <w:color w:val="auto"/>
          <w:szCs w:val="22"/>
          <w:lang w:val="fi-FI"/>
        </w:rPr>
        <w:t xml:space="preserve"> väestötutkimusten mukaan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Suomessa on noin 500 000 eri tavoin toimintarajoitte</w:t>
      </w:r>
      <w:r>
        <w:rPr>
          <w:color w:val="auto"/>
          <w:szCs w:val="22"/>
          <w:lang w:val="fi-FI"/>
        </w:rPr>
        <w:t xml:space="preserve">ista ihmistä, kyse ei siis ole </w:t>
      </w:r>
      <w:r w:rsidRPr="00BE3BAF">
        <w:rPr>
          <w:color w:val="auto"/>
          <w:szCs w:val="22"/>
          <w:lang w:val="fi-FI"/>
        </w:rPr>
        <w:t xml:space="preserve">lopulta aivan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pienestä ryhmästä, </w:t>
      </w:r>
      <w:r>
        <w:rPr>
          <w:color w:val="auto"/>
          <w:szCs w:val="22"/>
          <w:lang w:val="fi-FI"/>
        </w:rPr>
        <w:t>vaikka vähemmistöstä kuitenkin.</w:t>
      </w:r>
    </w:p>
    <w:p w:rsidR="00C813A4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Vammaisten ihmisten kohdalla myös ”oleellisen vaikutuksen” raja tulisi olla alempana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valtaväestöön nähden (positiivinen erityiskohtelu), koska kyse haavoittuvassa asemassa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olevista ihmisistä, joiden kohdalla pienilläkin lainsäädäntömuutoksilla voi olla todella iso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>merkitys arjen sujumiseen.</w:t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Vammaisten ihmisten asemaan liittyvää laaja-alaista tietopohjaa tulisi niin ikään saada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vahvistettua. Muutoin vaikutusten arviointi jää väistämättä kevyeksi. Suomeen tarvittaisiinkin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vammaisiin ihmisiin liittyvän tiedon kartuttamiseen keskittyvä ohjelma, joka kattaisi laajasti eri </w:t>
      </w:r>
      <w:r>
        <w:rPr>
          <w:color w:val="auto"/>
          <w:szCs w:val="22"/>
          <w:lang w:val="fi-FI"/>
        </w:rPr>
        <w:tab/>
        <w:t>hallinnonalat ja elämänalueet.</w:t>
      </w:r>
    </w:p>
    <w:p w:rsidR="00BE3BAF" w:rsidRPr="00BE3BAF" w:rsidRDefault="00BE3BAF" w:rsidP="00BE3BAF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Valmistelijoiden ja vammaisten ihmisten välistä vuoropuhelua tulisi edelleen lisätä ja huolehtia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vammaisten ihmisten systemaattisesta osallistamisesta valmisteluun kaikilla hallinnonaloilla.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Näin saataisiin kartutettua myös valmistelijoiden tietopohjaa vammaiskysymyksistä ja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tiedonlähteistä. </w:t>
      </w:r>
      <w:proofErr w:type="spellStart"/>
      <w:r w:rsidRPr="00BE3BAF">
        <w:rPr>
          <w:color w:val="auto"/>
          <w:szCs w:val="22"/>
          <w:lang w:val="fi-FI"/>
        </w:rPr>
        <w:t>VANEn</w:t>
      </w:r>
      <w:proofErr w:type="spellEnd"/>
      <w:r w:rsidRPr="00BE3BAF">
        <w:rPr>
          <w:color w:val="auto"/>
          <w:szCs w:val="22"/>
          <w:lang w:val="fi-FI"/>
        </w:rPr>
        <w:t xml:space="preserve"> kokemukset työryhmävalmistelusta, jossa on mukana vammaisia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ihmisiä ja vammaisjärjestöjen edustajia ovat positiivisia. Näin vaikutusarviointi vammaisten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ihmisten osalta ulottuisi osaksi koko valmisteluprosessia, eikä vain esimerkiksi esityksen </w:t>
      </w:r>
      <w:r>
        <w:rPr>
          <w:color w:val="auto"/>
          <w:szCs w:val="22"/>
          <w:lang w:val="fi-FI"/>
        </w:rPr>
        <w:tab/>
      </w:r>
      <w:r w:rsidRPr="00BE3BAF">
        <w:rPr>
          <w:color w:val="auto"/>
          <w:szCs w:val="22"/>
          <w:lang w:val="fi-FI"/>
        </w:rPr>
        <w:t xml:space="preserve">viimeistelyvaiheeseen. Näin toimeenpantaisiin myös YK:n vammaisyleissopimuksen </w:t>
      </w:r>
      <w:r>
        <w:rPr>
          <w:color w:val="auto"/>
          <w:szCs w:val="22"/>
          <w:lang w:val="fi-FI"/>
        </w:rPr>
        <w:tab/>
      </w:r>
      <w:proofErr w:type="spellStart"/>
      <w:r w:rsidRPr="00BE3BAF">
        <w:rPr>
          <w:color w:val="auto"/>
          <w:szCs w:val="22"/>
          <w:lang w:val="fi-FI"/>
        </w:rPr>
        <w:t>valtavirtaistamis</w:t>
      </w:r>
      <w:proofErr w:type="spellEnd"/>
      <w:r w:rsidRPr="00BE3BAF">
        <w:rPr>
          <w:color w:val="auto"/>
          <w:szCs w:val="22"/>
          <w:lang w:val="fi-FI"/>
        </w:rPr>
        <w:t>- ja osallistamisvelvoitteita.</w:t>
      </w:r>
    </w:p>
    <w:p w:rsidR="00FC57A3" w:rsidRPr="00BE3BAF" w:rsidRDefault="00FC57A3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D10AC">
        <w:rPr>
          <w:color w:val="auto"/>
          <w:szCs w:val="22"/>
          <w:lang w:val="fi-FI"/>
        </w:rPr>
        <w:t>Vammaisten henkilöiden oikeuksien neuvottelukunta</w:t>
      </w:r>
      <w:bookmarkStart w:id="0" w:name="_GoBack"/>
      <w:bookmarkEnd w:id="0"/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E13907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 xml:space="preserve">Jaana Huhta </w:t>
      </w:r>
      <w:r w:rsidR="00271E49"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ab/>
      </w:r>
      <w:r w:rsidR="00DD3D50">
        <w:rPr>
          <w:color w:val="auto"/>
          <w:szCs w:val="22"/>
          <w:lang w:val="fi-FI"/>
        </w:rPr>
        <w:tab/>
      </w:r>
      <w:r w:rsidR="00FC57A3">
        <w:rPr>
          <w:color w:val="auto"/>
          <w:szCs w:val="22"/>
          <w:lang w:val="fi-FI"/>
        </w:rPr>
        <w:t>Merja Heikkonen</w:t>
      </w:r>
    </w:p>
    <w:p w:rsidR="00DD3D50" w:rsidRPr="00532CDF" w:rsidRDefault="00DD3D5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puheenjohtaja</w:t>
      </w:r>
      <w:r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ab/>
        <w:t>pääsihteeri</w:t>
      </w:r>
    </w:p>
    <w:sectPr w:rsidR="00DD3D50" w:rsidRPr="00532CDF" w:rsidSect="00C83653">
      <w:headerReference w:type="even" r:id="rId9"/>
      <w:headerReference w:type="default" r:id="rId10"/>
      <w:headerReference w:type="first" r:id="rId11"/>
      <w:footerReference w:type="first" r:id="rId12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642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D75642">
      <w:rPr>
        <w:noProof/>
      </w:rPr>
      <w:t>3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D75642">
      <w:rPr>
        <w:noProof/>
      </w:rPr>
      <w:t>3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D75642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6A0F0C">
      <w:rPr>
        <w:color w:val="auto"/>
        <w:lang w:val="fi-FI"/>
      </w:rPr>
      <w:t>23</w:t>
    </w:r>
    <w:r w:rsidR="00C813A4">
      <w:rPr>
        <w:color w:val="auto"/>
        <w:lang w:val="fi-FI"/>
      </w:rPr>
      <w:t>.3.2021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40A12"/>
    <w:rsid w:val="00551D50"/>
    <w:rsid w:val="005522AB"/>
    <w:rsid w:val="005528BB"/>
    <w:rsid w:val="005A2601"/>
    <w:rsid w:val="005C5275"/>
    <w:rsid w:val="005E02E4"/>
    <w:rsid w:val="005E15AF"/>
    <w:rsid w:val="005E44F2"/>
    <w:rsid w:val="006316B6"/>
    <w:rsid w:val="006452B4"/>
    <w:rsid w:val="00696B53"/>
    <w:rsid w:val="006A0F0C"/>
    <w:rsid w:val="006A5311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9F1E0D"/>
    <w:rsid w:val="00A1125E"/>
    <w:rsid w:val="00A22136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B7E05"/>
    <w:rsid w:val="00BC6AB3"/>
    <w:rsid w:val="00BC7D0C"/>
    <w:rsid w:val="00BE3BAF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13A4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702C0"/>
    <w:rsid w:val="00D75642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136A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83017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E3BAF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kunta.fi/FI/naineduskuntatoimii/julkaisut/Documents/trvj_1+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657F-195B-4D98-8B85-D90BFFCE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916</Words>
  <Characters>7424</Characters>
  <Application>Microsoft Office Word</Application>
  <DocSecurity>0</DocSecurity>
  <Lines>61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3</cp:revision>
  <cp:lastPrinted>2018-03-02T06:56:00Z</cp:lastPrinted>
  <dcterms:created xsi:type="dcterms:W3CDTF">2021-03-23T06:25:00Z</dcterms:created>
  <dcterms:modified xsi:type="dcterms:W3CDTF">2021-03-23T06:49:00Z</dcterms:modified>
</cp:coreProperties>
</file>