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Opetus- ja kulttuuriministeriö / Valtion liikuntaneuvosto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 w:rsidRPr="00CB2687">
        <w:rPr>
          <w:color w:val="auto"/>
          <w:szCs w:val="22"/>
          <w:lang w:val="fi-FI"/>
        </w:rPr>
        <w:t>kirjaamo@minedu.fi</w:t>
      </w:r>
    </w:p>
    <w:p w:rsidR="00CB2687" w:rsidRDefault="00CB2687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CB2687" w:rsidRDefault="00CB2687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 w:rsidRPr="00CB2687">
        <w:rPr>
          <w:color w:val="auto"/>
          <w:szCs w:val="22"/>
          <w:lang w:val="fi-FI"/>
        </w:rPr>
        <w:t xml:space="preserve">Asia: Luonnos/Liikuntapaikkarakentamisen suunta </w:t>
      </w:r>
      <w:r>
        <w:rPr>
          <w:color w:val="auto"/>
          <w:szCs w:val="22"/>
          <w:lang w:val="fi-FI"/>
        </w:rPr>
        <w:t>–</w:t>
      </w:r>
      <w:r w:rsidRPr="00CB2687">
        <w:rPr>
          <w:color w:val="auto"/>
          <w:szCs w:val="22"/>
          <w:lang w:val="fi-FI"/>
        </w:rPr>
        <w:t>asiakirja</w:t>
      </w:r>
    </w:p>
    <w:p w:rsidR="00CB3005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Viite: VN/551/2021</w:t>
      </w:r>
      <w:r w:rsidR="00CB3005" w:rsidRPr="00CB3005">
        <w:rPr>
          <w:color w:val="auto"/>
          <w:szCs w:val="22"/>
          <w:lang w:val="fi-FI"/>
        </w:rPr>
        <w:t xml:space="preserve"> 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Vammaisten henkilöiden oikeuksien neuvottelukunta VANE on valtioneuvoston asettama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neuvottelukunta, joka toimii YK:n vammaisten henkilöiden oikeuksista tehdyn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yleissopimuksen (</w:t>
      </w:r>
      <w:proofErr w:type="spellStart"/>
      <w:r w:rsidRPr="00CB2687">
        <w:rPr>
          <w:color w:val="auto"/>
          <w:szCs w:val="22"/>
          <w:lang w:val="fi-FI"/>
        </w:rPr>
        <w:t>SopS</w:t>
      </w:r>
      <w:proofErr w:type="spellEnd"/>
      <w:r w:rsidRPr="00CB2687">
        <w:rPr>
          <w:color w:val="auto"/>
          <w:szCs w:val="22"/>
          <w:lang w:val="fi-FI"/>
        </w:rPr>
        <w:t xml:space="preserve"> 26/2016; YK:n vammaisyleissopimus) kansallisena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koordinaatiomekanismina. Vammaisyleissopimus on Suomessa osa velvoittavaa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lainsäädäntöä. VANE tarkastelee luonnoksen ehdotuksia vammaisyleissopimuksen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näkökulmasta. 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Tässä kohtaa erityisesti huomioon otettavia sopimuksen artikloja ovat 3 artiklan yleiset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periaatteet, 4 artiklan yleiset velvoitteet ja 9 artiklan, esteettömyys sekä 30 artiklan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osallistuminen kulttuurielämään, virkistys- ja vapaa-ajan toimintaan ja urheiluun. 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Vammaisyleissopimuksen yleisiä periaatteita ovat mm. 3 artiklan kohta e)</w:t>
      </w:r>
      <w:r>
        <w:rPr>
          <w:color w:val="auto"/>
          <w:szCs w:val="22"/>
          <w:lang w:val="fi-FI"/>
        </w:rPr>
        <w:t xml:space="preserve"> </w:t>
      </w:r>
      <w:r w:rsidRPr="00CB2687">
        <w:rPr>
          <w:color w:val="auto"/>
          <w:szCs w:val="22"/>
          <w:lang w:val="fi-FI"/>
        </w:rPr>
        <w:t xml:space="preserve">mahdollisuuksien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yhdenvertaisuus ja f-kohdan esteettömyys ja saavutettavuus. 4 artiklan kohta 3 pitää sisällään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osallistamisvelvoitteen, joka on olennainen myös tässä yhteydessä.</w:t>
      </w:r>
    </w:p>
    <w:p w:rsid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9 artiklassa, joka käsittelee esteettömyyttä ja saavutettavuutta todetaan seuraavaa: </w:t>
      </w:r>
      <w:r w:rsidRPr="00CB2687">
        <w:rPr>
          <w:i/>
          <w:color w:val="auto"/>
          <w:szCs w:val="22"/>
          <w:lang w:val="fi-FI"/>
        </w:rPr>
        <w:t xml:space="preserve">”Jotta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vammaiset henkilöt voisivat elää itsenäisesti ja osallistua täysimääräisesti kaikilla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elämänalueilla, sopimuspuolet toteuttavat asianmukaiset toimet varmistaakseen vammaisille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henkilöille muiden kanssa yhdenvertaisen pääsyn fyysiseen ympäristöön, kuljetukseen,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tiedottamiseen ja viestintään, muun muassa tieto-ja viestintäteknologiaan ja -järjestelmiin,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>sekä muihin yleisölle avoimiin tai tarjottaviin järjestelyihin ja palveluihin sekä kaupunki</w:t>
      </w:r>
      <w:r w:rsidR="00DD3D50">
        <w:rPr>
          <w:i/>
          <w:color w:val="auto"/>
          <w:szCs w:val="22"/>
          <w:lang w:val="fi-FI"/>
        </w:rPr>
        <w:t xml:space="preserve">- </w:t>
      </w:r>
      <w:r w:rsidRPr="00CB2687">
        <w:rPr>
          <w:i/>
          <w:color w:val="auto"/>
          <w:szCs w:val="22"/>
          <w:lang w:val="fi-FI"/>
        </w:rPr>
        <w:t xml:space="preserve">että </w:t>
      </w:r>
      <w:r w:rsidRPr="00CB2687"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>maaseutualueilla.</w:t>
      </w:r>
    </w:p>
    <w:p w:rsidR="00CB2687" w:rsidRP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Varsinaisessa liikuntaa koskevassa 30 artiklan kohdassa 5 todetaan</w:t>
      </w:r>
      <w:r w:rsidRPr="00CB2687">
        <w:rPr>
          <w:i/>
          <w:color w:val="auto"/>
          <w:szCs w:val="22"/>
          <w:lang w:val="fi-FI"/>
        </w:rPr>
        <w:t xml:space="preserve">: ” 5. Jotta vammaiset </w:t>
      </w:r>
      <w:r>
        <w:rPr>
          <w:i/>
          <w:color w:val="auto"/>
          <w:szCs w:val="22"/>
          <w:lang w:val="fi-FI"/>
        </w:rPr>
        <w:tab/>
        <w:t xml:space="preserve">henkilöt </w:t>
      </w:r>
      <w:r w:rsidRPr="00CB2687">
        <w:rPr>
          <w:i/>
          <w:color w:val="auto"/>
          <w:szCs w:val="22"/>
          <w:lang w:val="fi-FI"/>
        </w:rPr>
        <w:t xml:space="preserve">voisivat osallistua yhdenvertaisesti muiden kanssa virkistys-, vapaa-ajan-ja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urheilutoimintaan, sopimuspuolet toteuttavat asianmukaiset toimet, joilla: </w:t>
      </w:r>
    </w:p>
    <w:p w:rsidR="00CB2687" w:rsidRP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a) kannustetaan ja edistetään vammaisten henkilöiden mahdollisimman laajaa osallistumista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kaikille suunnattuun urheilutoimintaan kaikilla tasoilla; </w:t>
      </w:r>
    </w:p>
    <w:p w:rsidR="00CB2687" w:rsidRP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b) varmistetaan, että vammaisilla henkilöillä on mahdollisuus järjestää ja kehittää vammaisille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erityistä urheilu-ja virkistystoimintaa sekä osallistua siihen, ja tätä varten kannustetaan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asianmukaisten voimavarojen, ohjauksen ja koulutuksen järjestämistä vammaisille henkilöille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yhdenvertaisesti muiden kanssa; </w:t>
      </w:r>
    </w:p>
    <w:p w:rsidR="00CB2687" w:rsidRP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c) varmistetaan, että vammaiset henkilöt pääsevät urheilu-, virkistys-ja matkailupaikkoihin; </w:t>
      </w:r>
    </w:p>
    <w:p w:rsidR="00CB2687" w:rsidRPr="00CB2687" w:rsidRDefault="00CB2687" w:rsidP="00CB2687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d) varmistetaan, että vammaiset lapset voivat yhdenvertaisesti muiden lasten kanssa osallistua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leikki-, virkistys-, vapaa-ajan-ja urheilutoimintaan, mukaan lukien koulujärjestelmässä tarjottava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toiminta; 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lastRenderedPageBreak/>
        <w:tab/>
      </w:r>
      <w:r w:rsidRPr="00CB2687">
        <w:rPr>
          <w:i/>
          <w:color w:val="auto"/>
          <w:szCs w:val="22"/>
          <w:lang w:val="fi-FI"/>
        </w:rPr>
        <w:t xml:space="preserve">e) varmistetaan, että vammaiset henkilöt saavat palveluja virkistys-, matkailu-, vapaa-ajan-ja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>urheilu-toimintojen järjestäjiltä.</w:t>
      </w:r>
    </w:p>
    <w:p w:rsidR="00091FFF" w:rsidRPr="00CB2687" w:rsidRDefault="00CB2687" w:rsidP="00CB2687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Yleistä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VANE pitää tehtyä luonnosta huolellisesti laadittuna kokonaisuutena, jossa on yksittäisen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maininnan sijaan läpileikkaavasti huomioitu erityisryhmät, yhdenvertaisuus, esteettömyys ja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saavutettavuus.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VANE pitää kannatettavana, että valtionavustuksia </w:t>
      </w:r>
      <w:r w:rsidRPr="00CB2687">
        <w:rPr>
          <w:color w:val="auto"/>
          <w:szCs w:val="22"/>
          <w:lang w:val="fi-FI"/>
        </w:rPr>
        <w:t>myönnettäessä avustuskriteereissä</w:t>
      </w:r>
      <w:r w:rsidRPr="00CB2687">
        <w:rPr>
          <w:color w:val="auto"/>
          <w:szCs w:val="22"/>
          <w:lang w:val="fi-FI"/>
        </w:rPr>
        <w:t xml:space="preserve"> on niin </w:t>
      </w:r>
      <w:r>
        <w:rPr>
          <w:color w:val="auto"/>
          <w:szCs w:val="22"/>
          <w:lang w:val="fi-FI"/>
        </w:rPr>
        <w:tab/>
      </w:r>
      <w:proofErr w:type="spellStart"/>
      <w:r w:rsidRPr="00CB2687">
        <w:rPr>
          <w:color w:val="auto"/>
          <w:szCs w:val="22"/>
          <w:lang w:val="fi-FI"/>
        </w:rPr>
        <w:t>rakentamis</w:t>
      </w:r>
      <w:proofErr w:type="spellEnd"/>
      <w:r w:rsidRPr="00CB2687">
        <w:rPr>
          <w:color w:val="auto"/>
          <w:szCs w:val="22"/>
          <w:lang w:val="fi-FI"/>
        </w:rPr>
        <w:t xml:space="preserve">- kuin tutkimus/kehittämishankkeidenkin kohdalla edellytyksenä tasa-arvon,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yhdenvertaisuuden kuin esteettömyyden ja saavutettavuudenkin edistäminen. On hyvä, että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esteettömyys ja saavutettavuus on osoitettava myös hankehakemusten liitedokumenteilla.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VANE pitää erinomaisena myös sitä, että luonnoksessa on tutkittuun tietoon perustuen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kuvattu vammaisten ihmisten liikkumisen tilaa ja eroja valtaväestöön nähden. Luonnoksessa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todetaan mm.:</w:t>
      </w:r>
      <w:r>
        <w:rPr>
          <w:color w:val="auto"/>
          <w:szCs w:val="22"/>
          <w:lang w:val="fi-FI"/>
        </w:rPr>
        <w:t xml:space="preserve"> </w:t>
      </w:r>
      <w:r w:rsidRPr="00CB2687">
        <w:rPr>
          <w:i/>
          <w:color w:val="auto"/>
          <w:szCs w:val="22"/>
          <w:lang w:val="fi-FI"/>
        </w:rPr>
        <w:t xml:space="preserve">”Suomessa on arviolta noin 700 000–750 000 ihmistä, jotka kokevat fyysisiä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(näkeminen, kuuleminen, liikkuminen) ja/tai kognitiivisia toimintarajoitteita. Vain neljännes (24 %)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toimintarajoitteita kokeneista nuorista liikkui suosituksen mukaan, kun vammattomista nuorista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näin teki kolmannes (34 %). Myös toimintarajoitteiset aikuiset harrastavat vapaa-ajan liikuntaa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harvemmin kuin muu väestö. Ulkoilua tai liikuntaa vähintään kerran viikossa harrastaa puolet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toimintarajoitteisista aikuisista, kun muusta väestöstä määrä on kolme neljäsosaa. Jopa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kolmannes toiminta-rajoitteisista ei juuri osallistu liikunta- ja ulkoiluharrastuksiin, kun muussa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väestössä näin raportoi joka kymmenes. Yleisimmät esteet toimintarajoitteisten liikunnan </w:t>
      </w:r>
      <w:r>
        <w:rPr>
          <w:i/>
          <w:color w:val="auto"/>
          <w:szCs w:val="22"/>
          <w:lang w:val="fi-FI"/>
        </w:rPr>
        <w:tab/>
      </w:r>
      <w:r w:rsidRPr="00CB2687">
        <w:rPr>
          <w:i/>
          <w:color w:val="auto"/>
          <w:szCs w:val="22"/>
          <w:lang w:val="fi-FI"/>
        </w:rPr>
        <w:t xml:space="preserve">harrastamiselle näyttävät liittyvän ympäristöstä johtuviin ulkoisiin esteisiin.”  </w:t>
      </w:r>
      <w:r w:rsidRPr="00CB2687">
        <w:rPr>
          <w:color w:val="auto"/>
          <w:szCs w:val="22"/>
          <w:lang w:val="fi-FI"/>
        </w:rPr>
        <w:t xml:space="preserve">YK:n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vammaisyleissopimus velvoittaa lisäämään tietoisuutta vammaisten ihmisten oikeuksista ja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keräämään tilastoja ja tietopohjaa (31 art.) vammaisyleissopimuksen soveltamiseksi. Suunta-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asiakirjassa edistetään liikunnan osalta näitä velvoitteita.</w:t>
      </w:r>
    </w:p>
    <w:p w:rsidR="00CB2687" w:rsidRP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VANE esittää kuitenkin harkittavaksi, voisiko asiakirjassa täsmentää, onko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liikuntapaikkarakentamisen osalta, erityi</w:t>
      </w:r>
      <w:r>
        <w:rPr>
          <w:color w:val="auto"/>
          <w:szCs w:val="22"/>
          <w:lang w:val="fi-FI"/>
        </w:rPr>
        <w:t xml:space="preserve">sesti tulevaisuutta ajatellen, </w:t>
      </w:r>
      <w:r w:rsidRPr="00CB2687">
        <w:rPr>
          <w:color w:val="auto"/>
          <w:szCs w:val="22"/>
          <w:lang w:val="fi-FI"/>
        </w:rPr>
        <w:t xml:space="preserve">riittävää, että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rakennusmääräysten vähimmäisvaatimukset esteettömyyden osalta täyttyvät.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Vähimmäisvaatimusten täyttyminen ei takaa esteettömyyttä vielä kaikkien erityisryhmien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kannalta. Valtionavustuksilla voitaisiin kannustaa pidemmälle vietyyn esteettömyyteen.</w:t>
      </w:r>
    </w:p>
    <w:p w:rsidR="00CB2687" w:rsidRDefault="00CB2687" w:rsidP="00CB2687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 xml:space="preserve">Tutkimus- ja kehittämistoiminnan osalta VANE haluaa myös muistuttaa, että tulosten </w:t>
      </w:r>
      <w:r>
        <w:rPr>
          <w:color w:val="auto"/>
          <w:szCs w:val="22"/>
          <w:lang w:val="fi-FI"/>
        </w:rPr>
        <w:tab/>
      </w:r>
      <w:r w:rsidRPr="00CB2687">
        <w:rPr>
          <w:color w:val="auto"/>
          <w:szCs w:val="22"/>
          <w:lang w:val="fi-FI"/>
        </w:rPr>
        <w:t>esittelyssä ja julkaisuissa tulisi niin ikään huomioida saavutettavuus.</w:t>
      </w:r>
    </w:p>
    <w:p w:rsidR="00CB3005" w:rsidRDefault="00CB2687" w:rsidP="00271E49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Yksityiskohtaisia huomioita</w:t>
      </w:r>
    </w:p>
    <w:p w:rsidR="00CB2687" w:rsidRPr="00CB2687" w:rsidRDefault="00CB2687" w:rsidP="00271E49">
      <w:pPr>
        <w:spacing w:line="240" w:lineRule="auto"/>
        <w:ind w:left="0"/>
        <w:jc w:val="both"/>
        <w:rPr>
          <w:rFonts w:eastAsiaTheme="majorEastAsia" w:cstheme="majorBidi"/>
          <w:bCs/>
          <w:i/>
          <w:color w:val="auto"/>
          <w:w w:val="120"/>
          <w:sz w:val="24"/>
          <w:lang w:val="fi-FI"/>
        </w:rPr>
      </w:pPr>
      <w:r w:rsidRPr="00CB2687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2.3 Yhdenvertaisuus liikuntapaikkarakentamisessa</w:t>
      </w:r>
    </w:p>
    <w:p w:rsidR="00DD3D50" w:rsidRDefault="00FC57A3" w:rsidP="00B157A8">
      <w:pPr>
        <w:spacing w:line="240" w:lineRule="auto"/>
        <w:ind w:left="0"/>
        <w:jc w:val="both"/>
        <w:rPr>
          <w:b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VANE pitää tärkeänä, että yhdenvertaisuuden sääntelyä koskevassa kuvauksessa on huomioitu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niin perustuslaki, yhdenvertaisuuslainsäädäntö kuin vammaisyleissopimuskin.  VANE esittää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kuitenkin vielä ko. kohtaan lisättäväksi yhdenvertaisuuslain kohdalle positiivisen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erityiskohtelun ohella maininnan </w:t>
      </w:r>
      <w:r w:rsidR="00B157A8" w:rsidRPr="00B157A8">
        <w:rPr>
          <w:b/>
          <w:color w:val="auto"/>
          <w:szCs w:val="22"/>
          <w:lang w:val="fi-FI"/>
        </w:rPr>
        <w:t>kohtuullisista mukautuksista</w:t>
      </w:r>
      <w:r w:rsidR="00B157A8" w:rsidRPr="00B157A8">
        <w:rPr>
          <w:color w:val="auto"/>
          <w:szCs w:val="22"/>
          <w:lang w:val="fi-FI"/>
        </w:rPr>
        <w:t xml:space="preserve">. Vammaisyleissopimuksen </w:t>
      </w:r>
      <w:r w:rsidR="00B157A8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 xml:space="preserve">kohdalla olisi puolestaan hyvä </w:t>
      </w:r>
      <w:r w:rsidR="00B157A8" w:rsidRPr="00B157A8">
        <w:rPr>
          <w:color w:val="auto"/>
          <w:szCs w:val="22"/>
          <w:lang w:val="fi-FI"/>
        </w:rPr>
        <w:t xml:space="preserve">todeta, että </w:t>
      </w:r>
      <w:r w:rsidR="00B157A8" w:rsidRPr="00B157A8">
        <w:rPr>
          <w:b/>
          <w:color w:val="auto"/>
          <w:szCs w:val="22"/>
          <w:lang w:val="fi-FI"/>
        </w:rPr>
        <w:t xml:space="preserve">sopimus on osa kansallista velvoittavaa </w:t>
      </w:r>
      <w:r w:rsidR="00B157A8" w:rsidRPr="00B157A8">
        <w:rPr>
          <w:b/>
          <w:color w:val="auto"/>
          <w:szCs w:val="22"/>
          <w:lang w:val="fi-FI"/>
        </w:rPr>
        <w:tab/>
      </w:r>
      <w:r w:rsidR="00B157A8" w:rsidRPr="00B157A8">
        <w:rPr>
          <w:b/>
          <w:color w:val="auto"/>
          <w:szCs w:val="22"/>
          <w:lang w:val="fi-FI"/>
        </w:rPr>
        <w:t>lainsäädäntöä ja sitä valvotaan kansainvälisesti.</w:t>
      </w:r>
    </w:p>
    <w:p w:rsidR="00CB3005" w:rsidRPr="00DD3D50" w:rsidRDefault="00B157A8" w:rsidP="00B157A8">
      <w:pPr>
        <w:spacing w:line="240" w:lineRule="auto"/>
        <w:ind w:left="0"/>
        <w:jc w:val="both"/>
        <w:rPr>
          <w:b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B157A8">
        <w:rPr>
          <w:color w:val="auto"/>
          <w:szCs w:val="22"/>
          <w:lang w:val="fi-FI"/>
        </w:rPr>
        <w:t xml:space="preserve">VANE pitää </w:t>
      </w:r>
      <w:bookmarkStart w:id="0" w:name="_GoBack"/>
      <w:bookmarkEnd w:id="0"/>
      <w:r w:rsidRPr="00B157A8">
        <w:rPr>
          <w:color w:val="auto"/>
          <w:szCs w:val="22"/>
          <w:lang w:val="fi-FI"/>
        </w:rPr>
        <w:t xml:space="preserve">kannatettavana, että luonnoksessa esteettömyys ja saavutettavuus on kuvattu </w:t>
      </w:r>
      <w:r>
        <w:rPr>
          <w:color w:val="auto"/>
          <w:szCs w:val="22"/>
          <w:lang w:val="fi-FI"/>
        </w:rPr>
        <w:tab/>
      </w:r>
      <w:r w:rsidRPr="00B157A8">
        <w:rPr>
          <w:color w:val="auto"/>
          <w:szCs w:val="22"/>
          <w:lang w:val="fi-FI"/>
        </w:rPr>
        <w:t xml:space="preserve">laajasti, ei vain rakennetun ympäristön näkökulmasta.  Kyseessä on viime kädessä palveluja </w:t>
      </w:r>
      <w:r>
        <w:rPr>
          <w:color w:val="auto"/>
          <w:szCs w:val="22"/>
          <w:lang w:val="fi-FI"/>
        </w:rPr>
        <w:tab/>
      </w:r>
      <w:r w:rsidRPr="00B157A8">
        <w:rPr>
          <w:color w:val="auto"/>
          <w:szCs w:val="22"/>
          <w:lang w:val="fi-FI"/>
        </w:rPr>
        <w:t xml:space="preserve">käyttävän ihmisen kannalta toimintojen ketju. Erinomaista on myös se, että luonnoksessa on </w:t>
      </w:r>
      <w:r>
        <w:rPr>
          <w:color w:val="auto"/>
          <w:szCs w:val="22"/>
          <w:lang w:val="fi-FI"/>
        </w:rPr>
        <w:tab/>
      </w:r>
      <w:r w:rsidRPr="00B157A8">
        <w:rPr>
          <w:color w:val="auto"/>
          <w:szCs w:val="22"/>
          <w:lang w:val="fi-FI"/>
        </w:rPr>
        <w:t xml:space="preserve">myös huomioitu vammaisten ihmisten monenlaiset roolit; vammainen henkilö voi olla myös </w:t>
      </w:r>
      <w:r>
        <w:rPr>
          <w:color w:val="auto"/>
          <w:szCs w:val="22"/>
          <w:lang w:val="fi-FI"/>
        </w:rPr>
        <w:tab/>
      </w:r>
      <w:r w:rsidRPr="00B157A8">
        <w:rPr>
          <w:color w:val="auto"/>
          <w:szCs w:val="22"/>
          <w:lang w:val="fi-FI"/>
        </w:rPr>
        <w:t>esimerkiksi liikunnan ohjaaja.</w:t>
      </w:r>
    </w:p>
    <w:p w:rsidR="00B157A8" w:rsidRPr="00B157A8" w:rsidRDefault="00B157A8" w:rsidP="00B157A8">
      <w:pPr>
        <w:spacing w:line="240" w:lineRule="auto"/>
        <w:ind w:left="0"/>
        <w:jc w:val="both"/>
        <w:rPr>
          <w:rFonts w:eastAsiaTheme="majorEastAsia" w:cstheme="majorBidi"/>
          <w:bCs/>
          <w:i/>
          <w:color w:val="auto"/>
          <w:w w:val="120"/>
          <w:sz w:val="24"/>
          <w:lang w:val="fi-FI"/>
        </w:rPr>
      </w:pPr>
      <w:r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2.5</w:t>
      </w:r>
      <w:r w:rsidRPr="00CB2687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 xml:space="preserve"> </w:t>
      </w:r>
      <w:r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Yhdyskuntasuunnittelu</w:t>
      </w:r>
    </w:p>
    <w:p w:rsidR="00B157A8" w:rsidRDefault="00CB3005" w:rsidP="00B157A8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Yhdyskuntasuunnittelu tehdään käytännössä kuntatasolla kaavoituksella. Tässä olisi hyvä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mainita kunnan vammaisneuvostot, joilta voidaan pyytää lausuntoa kaavoituksen eri vaiheissa.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Kuntalain (410/2015) mukaan kaikissa kunnissa tulee olla vammaisneuvosto, joko oma tai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yhteinen toisten kuntien kanssa. YK:n vammaisyleissopimuksen 4(3) artikla edellyttää </w:t>
      </w:r>
      <w:r w:rsidR="00B157A8">
        <w:rPr>
          <w:color w:val="auto"/>
          <w:szCs w:val="22"/>
          <w:lang w:val="fi-FI"/>
        </w:rPr>
        <w:tab/>
      </w:r>
      <w:proofErr w:type="spellStart"/>
      <w:r w:rsidR="00B157A8" w:rsidRPr="00B157A8">
        <w:rPr>
          <w:color w:val="auto"/>
          <w:szCs w:val="22"/>
          <w:lang w:val="fi-FI"/>
        </w:rPr>
        <w:t>osallistamaan</w:t>
      </w:r>
      <w:proofErr w:type="spellEnd"/>
      <w:r w:rsidR="00B157A8" w:rsidRPr="00B157A8">
        <w:rPr>
          <w:color w:val="auto"/>
          <w:szCs w:val="22"/>
          <w:lang w:val="fi-FI"/>
        </w:rPr>
        <w:t xml:space="preserve"> vammaiset ihmiset heitä koskevissa asioissa ja osallisuuden tulisi tapahtua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>systemaattisesti läpi valmisteluprosessien, ei vain pisteittäisinä kuulemisina.</w:t>
      </w:r>
    </w:p>
    <w:p w:rsidR="00CB3005" w:rsidRPr="00B157A8" w:rsidRDefault="00B157A8" w:rsidP="00B157A8">
      <w:pPr>
        <w:spacing w:line="240" w:lineRule="auto"/>
        <w:ind w:left="0"/>
        <w:jc w:val="both"/>
        <w:rPr>
          <w:rFonts w:eastAsiaTheme="majorEastAsia" w:cstheme="majorBidi"/>
          <w:bCs/>
          <w:i/>
          <w:color w:val="auto"/>
          <w:w w:val="120"/>
          <w:sz w:val="24"/>
          <w:lang w:val="fi-FI"/>
        </w:rPr>
      </w:pPr>
      <w:r w:rsidRPr="00B157A8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4</w:t>
      </w:r>
      <w:r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 xml:space="preserve"> </w:t>
      </w:r>
      <w:r w:rsidRPr="00B157A8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Liikuntapaikkarakentamisen avustaminen edellisellä suunta-asiakirja kaudella</w:t>
      </w:r>
    </w:p>
    <w:p w:rsidR="00FC57A3" w:rsidRDefault="00FC57A3" w:rsidP="00CB3005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VANE katsoo, että tulevaisuutta silmällä pitäen olisi hyvä, jos tässä kohtaa olisi voitu myös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arvioida sitä, miten esteettömyys ja saavutettavuus liikuntarakentamisessa on edistynyt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edellisellä avustuskaudella, ts. miten vaikuttavia instrumentteja esim. avustamisen </w:t>
      </w:r>
      <w:r w:rsidR="00B157A8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>esteettömyysehdot ja –kriteerit ovat olleet.</w:t>
      </w:r>
    </w:p>
    <w:p w:rsidR="00CB3005" w:rsidRPr="00B157A8" w:rsidRDefault="00CB3005" w:rsidP="00CB3005">
      <w:pPr>
        <w:spacing w:line="240" w:lineRule="auto"/>
        <w:ind w:left="0"/>
        <w:jc w:val="both"/>
        <w:rPr>
          <w:rFonts w:eastAsiaTheme="majorEastAsia" w:cstheme="majorBidi"/>
          <w:bCs/>
          <w:i/>
          <w:color w:val="auto"/>
          <w:w w:val="120"/>
          <w:sz w:val="24"/>
          <w:lang w:val="fi-FI"/>
        </w:rPr>
      </w:pPr>
      <w:r w:rsidRPr="00B157A8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5</w:t>
      </w:r>
      <w:r w:rsidR="00B157A8" w:rsidRPr="00B157A8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.</w:t>
      </w:r>
      <w:r w:rsidR="00B157A8">
        <w:rPr>
          <w:rFonts w:eastAsiaTheme="majorEastAsia" w:cstheme="majorBidi"/>
          <w:bCs/>
          <w:i/>
          <w:color w:val="auto"/>
          <w:w w:val="120"/>
          <w:sz w:val="24"/>
          <w:lang w:val="fi-FI"/>
        </w:rPr>
        <w:t>4 Liikuntapaikkarakentamisen kehittämistarpeet</w:t>
      </w:r>
    </w:p>
    <w:p w:rsidR="00CB3005" w:rsidRDefault="00CB3005" w:rsidP="00CB3005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Luonnoksen tiivistetyssä kehittämistarveluettelossa on mainittu myös esteettömyyden </w:t>
      </w:r>
      <w:r w:rsidR="00DD3D50">
        <w:rPr>
          <w:color w:val="auto"/>
          <w:szCs w:val="22"/>
          <w:lang w:val="fi-FI"/>
        </w:rPr>
        <w:tab/>
      </w:r>
      <w:r w:rsidR="00B157A8" w:rsidRPr="00B157A8">
        <w:rPr>
          <w:color w:val="auto"/>
          <w:szCs w:val="22"/>
          <w:lang w:val="fi-FI"/>
        </w:rPr>
        <w:t xml:space="preserve">erityinen huomioiminen (kohta 9). Muualla luonnoksessa todetaan kuitenkin esimerkiksi: </w:t>
      </w:r>
      <w:r w:rsidR="00DD3D50">
        <w:rPr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”Kunnissa viidesosassa (21 %) oli tehty liikuntapaikoille esteettömyyssuunnitelmia vuonna 2019,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mutta suunnitelmien määrä ei näytä juurikaan lisääntyneen viime vuosina (19 % vuonna 2013).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Liikuntaolosuhteiden esteettömyyden nykytilasta ei ole laaja-alaista ja valtakunnallista tutkittua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tietoa. Kuntien omien arvioiden mukaan esteettömyys toteutuu liikuntapaikoista parhaiten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uimahalleissa, pallokentillä ja yleisurheilukentillä. Eniten puutteita kunnat raportoivat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kuntosalien, jäähallien ja liikuntasalien esteettömyydessä. Tutkimustietojen mukaan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liikuntapaikoilla toimivien henkilöiden esteettömyysosaaminen on kuitenkin puutteellista, mikä </w:t>
      </w:r>
      <w:r w:rsidR="00DD3D50">
        <w:rPr>
          <w:i/>
          <w:color w:val="auto"/>
          <w:szCs w:val="22"/>
          <w:lang w:val="fi-FI"/>
        </w:rPr>
        <w:tab/>
      </w:r>
      <w:r w:rsidR="00B157A8" w:rsidRPr="00DD3D50">
        <w:rPr>
          <w:i/>
          <w:color w:val="auto"/>
          <w:szCs w:val="22"/>
          <w:lang w:val="fi-FI"/>
        </w:rPr>
        <w:t xml:space="preserve">vaikuttaa siihen, että esteettömyyden tila arvioidaan yleensä todellista tasoa </w:t>
      </w:r>
      <w:proofErr w:type="gramStart"/>
      <w:r w:rsidR="00B157A8" w:rsidRPr="00DD3D50">
        <w:rPr>
          <w:i/>
          <w:color w:val="auto"/>
          <w:szCs w:val="22"/>
          <w:lang w:val="fi-FI"/>
        </w:rPr>
        <w:t>paremmaksi….</w:t>
      </w:r>
      <w:proofErr w:type="gramEnd"/>
      <w:r w:rsidR="00B157A8" w:rsidRPr="00DD3D50">
        <w:rPr>
          <w:i/>
          <w:color w:val="auto"/>
          <w:szCs w:val="22"/>
          <w:lang w:val="fi-FI"/>
        </w:rPr>
        <w:t>”</w:t>
      </w:r>
    </w:p>
    <w:p w:rsidR="00DD3D50" w:rsidRPr="00DD3D50" w:rsidRDefault="00DD3D50" w:rsidP="00DD3D50">
      <w:pPr>
        <w:spacing w:line="240" w:lineRule="auto"/>
        <w:ind w:left="0"/>
        <w:jc w:val="both"/>
        <w:rPr>
          <w:i/>
          <w:color w:val="auto"/>
          <w:szCs w:val="22"/>
          <w:lang w:val="fi-FI"/>
        </w:rPr>
      </w:pPr>
      <w:r>
        <w:rPr>
          <w:i/>
          <w:color w:val="auto"/>
          <w:szCs w:val="22"/>
          <w:lang w:val="fi-FI"/>
        </w:rPr>
        <w:tab/>
      </w:r>
      <w:r w:rsidRPr="00DD3D50">
        <w:rPr>
          <w:color w:val="auto"/>
          <w:szCs w:val="22"/>
          <w:lang w:val="fi-FI"/>
        </w:rPr>
        <w:t>Luonnoksessa todetaan edelleen</w:t>
      </w:r>
      <w:r w:rsidRPr="00DD3D50">
        <w:rPr>
          <w:i/>
          <w:color w:val="auto"/>
          <w:szCs w:val="22"/>
          <w:lang w:val="fi-FI"/>
        </w:rPr>
        <w:t xml:space="preserve">: ”Liikuntaolosuhteiden esteettömyyttä ja liikuntapalveluiden </w:t>
      </w:r>
      <w:r>
        <w:rPr>
          <w:i/>
          <w:color w:val="auto"/>
          <w:szCs w:val="22"/>
          <w:lang w:val="fi-FI"/>
        </w:rPr>
        <w:tab/>
      </w:r>
      <w:r w:rsidRPr="00DD3D50">
        <w:rPr>
          <w:i/>
          <w:color w:val="auto"/>
          <w:szCs w:val="22"/>
          <w:lang w:val="fi-FI"/>
        </w:rPr>
        <w:t xml:space="preserve">yhdenvertaisuutta voidaan edistää henkilöstölle järjestettävillä koulutuksilla, toteuttamalla </w:t>
      </w:r>
      <w:r>
        <w:rPr>
          <w:i/>
          <w:color w:val="auto"/>
          <w:szCs w:val="22"/>
          <w:lang w:val="fi-FI"/>
        </w:rPr>
        <w:tab/>
      </w:r>
      <w:r w:rsidRPr="00DD3D50">
        <w:rPr>
          <w:i/>
          <w:color w:val="auto"/>
          <w:szCs w:val="22"/>
          <w:lang w:val="fi-FI"/>
        </w:rPr>
        <w:t xml:space="preserve">koulutettujen kartoittajien toteuttamia esteettömyyskartoituksia ja huolehtimalla kartoituksissa </w:t>
      </w:r>
      <w:r>
        <w:rPr>
          <w:i/>
          <w:color w:val="auto"/>
          <w:szCs w:val="22"/>
          <w:lang w:val="fi-FI"/>
        </w:rPr>
        <w:tab/>
      </w:r>
      <w:r w:rsidRPr="00DD3D50">
        <w:rPr>
          <w:i/>
          <w:color w:val="auto"/>
          <w:szCs w:val="22"/>
          <w:lang w:val="fi-FI"/>
        </w:rPr>
        <w:t xml:space="preserve">esiin tulleiden toimenpide-ehdotuksien toteutuksesta. Käyttäjien osallisuus kaikissa vaiheissa </w:t>
      </w:r>
      <w:r>
        <w:rPr>
          <w:i/>
          <w:color w:val="auto"/>
          <w:szCs w:val="22"/>
          <w:lang w:val="fi-FI"/>
        </w:rPr>
        <w:tab/>
      </w:r>
      <w:r w:rsidRPr="00DD3D50">
        <w:rPr>
          <w:i/>
          <w:color w:val="auto"/>
          <w:szCs w:val="22"/>
          <w:lang w:val="fi-FI"/>
        </w:rPr>
        <w:t xml:space="preserve">(suunnittelu, toteutus, toimintakäytännöt jne.) parantaa liikuntaolosuhteiden esteettömyyttä ja </w:t>
      </w:r>
      <w:r>
        <w:rPr>
          <w:i/>
          <w:color w:val="auto"/>
          <w:szCs w:val="22"/>
          <w:lang w:val="fi-FI"/>
        </w:rPr>
        <w:tab/>
      </w:r>
      <w:r w:rsidRPr="00DD3D50">
        <w:rPr>
          <w:i/>
          <w:color w:val="auto"/>
          <w:szCs w:val="22"/>
          <w:lang w:val="fi-FI"/>
        </w:rPr>
        <w:t>saavutettavuutta.”</w:t>
      </w:r>
    </w:p>
    <w:p w:rsidR="00DD3D50" w:rsidRPr="00DD3D50" w:rsidRDefault="00DD3D50" w:rsidP="00DD3D50">
      <w:pPr>
        <w:spacing w:line="240" w:lineRule="auto"/>
        <w:ind w:left="0"/>
        <w:jc w:val="both"/>
        <w:rPr>
          <w:b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DD3D50">
        <w:rPr>
          <w:b/>
          <w:color w:val="auto"/>
          <w:szCs w:val="22"/>
          <w:lang w:val="fi-FI"/>
        </w:rPr>
        <w:t xml:space="preserve">Edellä mainittuun viitaten VANE esittääkin, että kehittämistarveluettelon esteettömyyttä </w:t>
      </w:r>
      <w:r>
        <w:rPr>
          <w:b/>
          <w:color w:val="auto"/>
          <w:szCs w:val="22"/>
          <w:lang w:val="fi-FI"/>
        </w:rPr>
        <w:tab/>
      </w:r>
      <w:r w:rsidRPr="00DD3D50">
        <w:rPr>
          <w:b/>
          <w:color w:val="auto"/>
          <w:szCs w:val="22"/>
          <w:lang w:val="fi-FI"/>
        </w:rPr>
        <w:t xml:space="preserve">ja saavutettavuutta koskevaa kirjausta (9) täsmennetään ja terävöitetään jo luonnoksessa </w:t>
      </w:r>
      <w:r w:rsidRPr="00DD3D50">
        <w:rPr>
          <w:b/>
          <w:color w:val="auto"/>
          <w:szCs w:val="22"/>
          <w:lang w:val="fi-FI"/>
        </w:rPr>
        <w:tab/>
      </w:r>
      <w:r w:rsidRPr="00DD3D50">
        <w:rPr>
          <w:b/>
          <w:color w:val="auto"/>
          <w:szCs w:val="22"/>
          <w:lang w:val="fi-FI"/>
        </w:rPr>
        <w:t>todettujen hyvien käytäntöjen suuntaan</w:t>
      </w:r>
      <w:r w:rsidRPr="00DD3D50">
        <w:rPr>
          <w:color w:val="auto"/>
          <w:szCs w:val="22"/>
          <w:lang w:val="fi-FI"/>
        </w:rPr>
        <w:t xml:space="preserve"> lisäämällä koulutusta, varmistamalla kartoitusten </w:t>
      </w:r>
      <w:r>
        <w:rPr>
          <w:color w:val="auto"/>
          <w:szCs w:val="22"/>
          <w:lang w:val="fi-FI"/>
        </w:rPr>
        <w:tab/>
      </w:r>
      <w:r w:rsidRPr="00DD3D50">
        <w:rPr>
          <w:color w:val="auto"/>
          <w:szCs w:val="22"/>
          <w:lang w:val="fi-FI"/>
        </w:rPr>
        <w:t xml:space="preserve">toimeenpano ja vahvistamalla systemaattista vammaisten ihmisten osallistamista. Tärkeää </w:t>
      </w:r>
      <w:r>
        <w:rPr>
          <w:color w:val="auto"/>
          <w:szCs w:val="22"/>
          <w:lang w:val="fi-FI"/>
        </w:rPr>
        <w:tab/>
      </w:r>
      <w:r w:rsidRPr="00DD3D50">
        <w:rPr>
          <w:color w:val="auto"/>
          <w:szCs w:val="22"/>
          <w:lang w:val="fi-FI"/>
        </w:rPr>
        <w:t xml:space="preserve">olisi myös kirjata kehittämistarpeisiin, että tulevaisuudessa </w:t>
      </w:r>
      <w:r w:rsidRPr="00DD3D50">
        <w:rPr>
          <w:b/>
          <w:color w:val="auto"/>
          <w:szCs w:val="22"/>
          <w:lang w:val="fi-FI"/>
        </w:rPr>
        <w:t xml:space="preserve">liikuntapaikkarakentamisen </w:t>
      </w:r>
      <w:r w:rsidRPr="00DD3D50">
        <w:rPr>
          <w:b/>
          <w:color w:val="auto"/>
          <w:szCs w:val="22"/>
          <w:lang w:val="fi-FI"/>
        </w:rPr>
        <w:lastRenderedPageBreak/>
        <w:tab/>
      </w:r>
      <w:r w:rsidRPr="00DD3D50">
        <w:rPr>
          <w:b/>
          <w:color w:val="auto"/>
          <w:szCs w:val="22"/>
          <w:lang w:val="fi-FI"/>
        </w:rPr>
        <w:t xml:space="preserve">esteettömyydessä tavoitellaan pidemmälle vietyä esteettömyyttä kuin </w:t>
      </w:r>
      <w:r>
        <w:rPr>
          <w:b/>
          <w:color w:val="auto"/>
          <w:szCs w:val="22"/>
          <w:lang w:val="fi-FI"/>
        </w:rPr>
        <w:tab/>
      </w:r>
      <w:r w:rsidRPr="00DD3D50">
        <w:rPr>
          <w:b/>
          <w:color w:val="auto"/>
          <w:szCs w:val="22"/>
          <w:lang w:val="fi-FI"/>
        </w:rPr>
        <w:t>rakennusmääräysten edellyttämä vähimmäistaso.</w:t>
      </w:r>
    </w:p>
    <w:p w:rsidR="00FC57A3" w:rsidRDefault="00FC57A3" w:rsidP="00271E49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 xml:space="preserve">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D50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DD3D50">
      <w:rPr>
        <w:noProof/>
      </w:rPr>
      <w:t>4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DD3D50">
      <w:rPr>
        <w:noProof/>
      </w:rPr>
      <w:t>4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DD3D50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CB2687">
      <w:rPr>
        <w:color w:val="auto"/>
        <w:lang w:val="fi-FI"/>
      </w:rPr>
      <w:t>19</w:t>
    </w:r>
    <w:r w:rsidR="00E0446A" w:rsidRPr="00537C16">
      <w:rPr>
        <w:color w:val="auto"/>
        <w:lang w:val="fi-FI"/>
      </w:rPr>
      <w:t>.</w:t>
    </w:r>
    <w:r w:rsidR="00CB3005">
      <w:rPr>
        <w:color w:val="auto"/>
        <w:lang w:val="fi-FI"/>
      </w:rPr>
      <w:t>2</w:t>
    </w:r>
    <w:r w:rsidR="009B68F6" w:rsidRPr="00C72E35">
      <w:rPr>
        <w:color w:val="auto"/>
        <w:lang w:val="fi-FI"/>
      </w:rPr>
      <w:t>.</w:t>
    </w:r>
    <w:r w:rsidR="00E0446A" w:rsidRPr="00C72E35">
      <w:rPr>
        <w:color w:val="auto"/>
        <w:lang w:val="fi-FI"/>
      </w:rPr>
      <w:t>202</w:t>
    </w:r>
    <w:r w:rsidR="00B66E3E">
      <w:rPr>
        <w:color w:val="auto"/>
        <w:lang w:val="fi-FI"/>
      </w:rPr>
      <w:t>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96B53"/>
    <w:rsid w:val="006A5311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6C8E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4264D-8105-4610-A2F6-C421FC7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1018</Words>
  <Characters>8253</Characters>
  <Application>Microsoft Office Word</Application>
  <DocSecurity>0</DocSecurity>
  <Lines>68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2021-02-24T07:07:00Z</dcterms:created>
  <dcterms:modified xsi:type="dcterms:W3CDTF">2021-02-24T07:32:00Z</dcterms:modified>
</cp:coreProperties>
</file>