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5B297E" w:rsidP="00584043"/>
    <w:p w:rsidR="000D79C4" w:rsidRDefault="00DC5422" w:rsidP="000D79C4">
      <w:pPr>
        <w:pStyle w:val="Otsikko1"/>
        <w:ind w:left="680"/>
      </w:pPr>
      <w:r>
        <w:fldChar w:fldCharType="begin"/>
      </w:r>
      <w:r>
        <w:instrText xml:space="preserve"> DOCPROPERTY  tweb_doc_title  \* MERGEFORMAT </w:instrText>
      </w:r>
      <w:r>
        <w:fldChar w:fldCharType="separate"/>
      </w:r>
      <w:r w:rsidR="000D79C4">
        <w:t>Ot</w:t>
      </w:r>
      <w:r w:rsidRPr="00DC5422">
        <w:t xml:space="preserve"> Lausunto / Against Hate -hankkeen suositukset viharikosten ja vihapuheen vastaiseen työhön</w:t>
      </w:r>
      <w:r>
        <w:fldChar w:fldCharType="end"/>
      </w:r>
    </w:p>
    <w:p w:rsidR="000D79C4" w:rsidRDefault="000D79C4" w:rsidP="000D79C4"/>
    <w:p w:rsidR="000D79C4" w:rsidRDefault="000D79C4" w:rsidP="000D79C4">
      <w:pPr>
        <w:ind w:left="2597"/>
      </w:pPr>
    </w:p>
    <w:p w:rsidR="00DC5422" w:rsidRDefault="00DC5422" w:rsidP="00DC5422">
      <w:pPr>
        <w:ind w:left="2597"/>
      </w:pPr>
      <w:r>
        <w:t>Sisältyvätkö luonnokseen viharikosten ja vihapuheen vastaisen työn keskeiset tavoitteet?</w:t>
      </w:r>
    </w:p>
    <w:p w:rsidR="00DC5422" w:rsidRDefault="00DC5422" w:rsidP="00DC5422">
      <w:pPr>
        <w:ind w:left="2597"/>
      </w:pPr>
    </w:p>
    <w:p w:rsidR="000D79C4" w:rsidRDefault="00DC5422" w:rsidP="000D79C4">
      <w:pPr>
        <w:ind w:left="2597"/>
      </w:pPr>
      <w:r>
        <w:t>Vammaisten henkilöiden oikeuksien neuvottelukunta katsoo, että keskeistä on tunnis-taa, ennaltaehkäistä ja puuttua tehokkaasti vihapuheeseen. Kaikkiin näihin on kiitet-tävästi suosituksia. Tavoitteet ovat kannatettavia ja oikeansuuntaisia. Joiltain osin ne ovat päällekkäisiä, eivätkä kaikilta osin tavoita viharikosten ja vihapuheen ilmiöiden koko kirjoa (ks. tarkemmin muut vastaukset).</w:t>
      </w:r>
    </w:p>
    <w:p w:rsidR="00DC5422" w:rsidRDefault="00DC5422" w:rsidP="000D79C4">
      <w:pPr>
        <w:ind w:left="2597"/>
      </w:pPr>
    </w:p>
    <w:p w:rsidR="00DC5422" w:rsidRDefault="00DC5422" w:rsidP="00DC5422">
      <w:pPr>
        <w:ind w:left="2597"/>
      </w:pPr>
      <w:r>
        <w:t>Puuttuuko jotain tavoitteita?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Suositusten pohjaksi tulisi tarkemmin eritellä vihapuheen piirteitä eri syrjinnän vaa-rassa olevien ryhmien osalta. Tämän jälkeen tulisi määritellä eri ryhmien kannalta keskeiset tahot, joille koulutusta, tiedotusta ja toimenpiteitä kohdennetaan.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Tehdyn selvityksen mukaisesti vammaisiin henkilöihin kohdistuva vihapuhe on usein sanallisia tekoja tuntemattomilta. Jopa puolet vihapuheesta tulee terveyden- ja sosi-aalihuollon työntekijöiden taholta ja neljäsosa muilta viranomaisilta. Vammaiset henkilöt kokevat syrjintää palvelutilanteissa. (Owalgroup 2018 Selvitys vihapuheesta ja häirinnästä ja niiden vaikutuksista) Nämä ja muiden raporttien ja selvitysten sa-mantyyppiset tulokset tulisi huomioida toimenpiteitä kohdennettaessa.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Saavutetaanko tavoitteet kuvatuilla toimenpiteillä? Puuttuuko ke</w:t>
      </w:r>
      <w:r>
        <w:t>skeisiä toimenpiteitä tai kohde</w:t>
      </w:r>
      <w:r>
        <w:t>ryhmiä?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 xml:space="preserve">Jatkotyössä tulisi tarkemmin pohtia asiaa eri syrjinnän vaarassa olevien ryhmien nä-kökulmista. 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 xml:space="preserve">Tavoitteen 2 osalta jatkotyössä on tarpeen selvittää, tulisiko rikoslaissa olla erikseen sääntely viharikoksista. 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 xml:space="preserve">On tärkeää arvioida, mitkä ovat oppilaitoksissa kaikkein tehokkaimmat ja vaikutta-vimmat keinot puuttua syrjintään ja häirintään.  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 xml:space="preserve">Varhaiskasvatuksen osalta tulisi jatkotyössä pohtia, mikä on varhaiskasvatusyksiköissä vaikuttava ja tarkoituksenmukainen tapa toteuttaa yhdenvertaisuuden edistämisteh-tävää. 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Mikäli yhdenvertaisuuslakiin tehdään muutos, jonka mukaan yhdenvertaisuusvaltuu-tettu voi viedä asian yhdenvertaisuus- ja tasa-arvolautakuntaan uhria nimeämättä, tulee huolehtia siitä, että asiassa huolehditaan molempien osapuolien oikeusturvan toteutumisesta.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lastRenderedPageBreak/>
        <w:t>Tavoitteessa 3 avataan hyvin uhrien asemaa ja uhrien kokemusta siitä, että viran-omaiset eivät välttämättä tunnista vihamotiivia. Kohdassa olisi myös tärkeä huomioi-da YK:n vammaisyleissopimuksen velvoitteet oikeussuojan saavutettavuudesta (ks. vastaus viimeiseen kysymykseen ja vammaisyleiss</w:t>
      </w:r>
      <w:r>
        <w:t>opimuksen 13 artikla) ja vammai</w:t>
      </w:r>
      <w:r>
        <w:t>sen uhrin asema ja siinä erityisesti huomioitavat asiat.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 xml:space="preserve">Tarpeen on lisätä ymmärrystä siitä, mitä vihapuhe on ja miten sitä ehkäistään. Koulu-tus on tärkeä elementti tässä, ja jotta tavoitteeseen päästäisiin, olisi huolehdittava riittävästä rahoituksesta ja resursoinnista koulutuksen järjestämiseen. 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Millaista tietoa tarvittaisiin, joka auttaisi puuttumaan tehokkaam</w:t>
      </w:r>
      <w:r>
        <w:t>min viharikoksiin ja/tai vihapu</w:t>
      </w:r>
      <w:r>
        <w:t>heeseen?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 xml:space="preserve">Kuten suosituksissa on ehdotettu, olisi tarkoituksenmukaista, että olemassa olisi yksi taho, joka koordinoisi kansallista vihapuheen vastaista työtä tavoitteena valtavirtais-taa vihapuheen ja syrjinnän vastainen työ osaksi eri tahojen toimintaa. 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Muita ehdotuksia?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Vammaisten henkilöiden oikeuksien neuvottelukunta VANE kiittää lausuntopyynnöstä. VANEn tehtävänä on edistää YK:n vammaisten henkilöiden oikeuksien yleissopimuk-sen kansallista toimeenpanoa, ja neuvottelukunta keskittyy lausunnossaan siihen, kuinka hyvin YK:n vammaisyleissopimuksen mukaiset velvoitteet ja vammaisten hen-kilöiden oikeudet on esityksessä huomioitu. VANE haluaa korostaa, että yleissopimus on voimassa lakina ja se tulisi huomioida myös näissä suosituksissa.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YK:n vammaisyleissopimus velvoittaa sopimuspuolet lisäämään tietoa vammaisten henkilöiden oikeuksista ja se kieltää kaiken syrjinnän vammaisuuden perusteella. Suomen valtion on sopimuspuolena toteutettava kaikki asianmukaiset lainsäädännöl-liset, hallinnolliset ja muut toimet yleissopimuksessa tunnustettujen oikeuksien täy-täntöönpanemiseksi. Yleissopimus velvoittaa myös tekemään kaikki asianmukaiset toimet, joilla poistetaan henkilön, järjestön tai yksityisen yrityksen vammaisuuden perusteella harjoittama syrjintä.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Esteettömyys ja saavutettavuus ovat yleissopimuksen keskeisiä läpileikkaavia periaat-teita, ja ne on nähtävä myös edellytyksenä muiden oikeuksien toteutumiselle.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YK:n vammaisyleissopimuksessa kiinnitetään erityistä huomiota vammaisten naisten ja vammaisten tyttöjen erityisen haavoittuvaan asemaan ja heihin kohdistuvaan mo-niperusteiseen syrjintään. Myös vammaisten lasten oikeuksiin kiinnitetään erityistä huomiota. THL:n kouluterveyskyselyn (2017) muka</w:t>
      </w:r>
      <w:r>
        <w:t>an vammaiset nuoret kokivat mui</w:t>
      </w:r>
      <w:r>
        <w:t>ta useammin kiusaamista, syrjintää ja väkivaltaa. Tämä olisi hyvä huomioida myös vihapuheen vastaisessa työssä.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YK:n vammaissopimuksen yksi keskeinen periaate on vammaisten henkilöiden osallis-taminen kaikkeen heitä koskevaan päätöksentekoon vammaisjärjestöjen kautta. VA-NE korostaa, että jatkotyössä ja toimeenpantaessa nä</w:t>
      </w:r>
      <w:r>
        <w:t>itä suosituksia on tärkeää osal</w:t>
      </w:r>
      <w:r>
        <w:t>listaa sekä VANE että vammaisjärjestöt tehtävään työhön.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lastRenderedPageBreak/>
        <w:t>Vammaisyleissopimuksessa velvoitetaan sopimusvaltiot niin ikään huolehtimaan oi-keussuojan saavutettavuudesta mukaan lukien se, että vammaisille henkilöille järjes-tetään mukautukset, joilla helpotetaan heidän tehokasta osallistumistaan oikeudelli-siin menettelyihin. Osana tätä sopimuspuolten tulee edistää muun muassa poliisin asianmukaista koulutusta.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VANE pitää hyvänä sitä, että esteettömyys ja saavutettavuus o</w:t>
      </w:r>
      <w:r>
        <w:t>n mainittu suosituksis</w:t>
      </w:r>
      <w:r>
        <w:t xml:space="preserve">sa. Niiden merkitystä pitäisi kuitenkin avata, jotta ne </w:t>
      </w:r>
      <w:r>
        <w:t>ymmärrettäisiin laajasti eri ta</w:t>
      </w:r>
      <w:r>
        <w:t xml:space="preserve">voin vammaisten henkilöiden kannalta. Tässä tulisi huomioida esimerkiksi oikeus saada tietoa oikeuksista selkokielellä tai viittomakielellä sekä </w:t>
      </w:r>
      <w:r>
        <w:t>saavutettavassa muo</w:t>
      </w:r>
      <w:bookmarkStart w:id="0" w:name="_GoBack"/>
      <w:bookmarkEnd w:id="0"/>
      <w:r>
        <w:t>dossa.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 xml:space="preserve">VANE katsoo, että yleiselle tasolle jäävät suositukset eivät täysin tavoita vihapuhetta laajana eri ihmisryhmiin kohdistuvana ilmiönä. Suositukset toki koskevat kaikkia syr-jintäperusteita, mutta olisi tarpeen avata tekstissä, mitä nämä eri syrjintäperusteet ovat, ja mitä erityispiireteitä liittyy esimerkiksi vammaisiin henkilöihin kohdistuvaan vihapuheeseen ja syrjintään. 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Vammaisten henkilöiden oikeuksien neuvottelukunta</w:t>
      </w: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</w:p>
    <w:p w:rsidR="00DC5422" w:rsidRDefault="00DC5422" w:rsidP="00DC5422">
      <w:pPr>
        <w:ind w:left="2597"/>
      </w:pPr>
      <w:r>
        <w:t>Riitta Burrell</w:t>
      </w:r>
      <w:r>
        <w:tab/>
      </w:r>
      <w:r>
        <w:tab/>
        <w:t>Tea Hoffrén</w:t>
      </w:r>
    </w:p>
    <w:p w:rsidR="00DC5422" w:rsidRDefault="00DC5422" w:rsidP="00DC5422">
      <w:pPr>
        <w:ind w:left="2597"/>
      </w:pPr>
      <w:r>
        <w:t>puheenjohtaja</w:t>
      </w:r>
      <w:r>
        <w:tab/>
        <w:t>vs. pääsihteeri</w:t>
      </w:r>
    </w:p>
    <w:p w:rsidR="00DC5422" w:rsidRDefault="00DC5422" w:rsidP="00DC5422">
      <w:pPr>
        <w:ind w:left="2597"/>
      </w:pPr>
    </w:p>
    <w:p w:rsidR="000D79C4" w:rsidRDefault="000D79C4" w:rsidP="000D79C4">
      <w:pPr>
        <w:ind w:left="2597"/>
      </w:pPr>
    </w:p>
    <w:p w:rsidR="000D79C4" w:rsidRDefault="000D79C4" w:rsidP="000D79C4">
      <w:pPr>
        <w:ind w:left="2597"/>
      </w:pPr>
    </w:p>
    <w:p w:rsidR="000D79C4" w:rsidRDefault="000D79C4" w:rsidP="008E6496"/>
    <w:p w:rsidR="000D79C4" w:rsidRDefault="000D79C4" w:rsidP="000D79C4">
      <w:pPr>
        <w:ind w:left="2597"/>
      </w:pPr>
    </w:p>
    <w:p w:rsidR="000D79C4" w:rsidRDefault="000D79C4" w:rsidP="000D79C4">
      <w:pPr>
        <w:ind w:left="680"/>
      </w:pPr>
      <w:r>
        <w:t>LIITTEET</w:t>
      </w:r>
    </w:p>
    <w:p w:rsidR="000D79C4" w:rsidRDefault="000D79C4" w:rsidP="000D79C4">
      <w:pPr>
        <w:ind w:left="680"/>
      </w:pPr>
    </w:p>
    <w:p w:rsidR="000D79C4" w:rsidRDefault="000D79C4" w:rsidP="000D79C4">
      <w:pPr>
        <w:ind w:left="680"/>
      </w:pPr>
      <w:r>
        <w:t>JAKELU</w:t>
      </w:r>
    </w:p>
    <w:p w:rsidR="000D79C4" w:rsidRDefault="000D79C4" w:rsidP="000D79C4">
      <w:pPr>
        <w:ind w:left="680"/>
      </w:pPr>
    </w:p>
    <w:p w:rsidR="000D79C4" w:rsidRDefault="000D79C4" w:rsidP="000D79C4">
      <w:pPr>
        <w:ind w:left="680"/>
      </w:pPr>
      <w:r>
        <w:t>TIEDOKSI</w:t>
      </w:r>
    </w:p>
    <w:p w:rsidR="000D79C4" w:rsidRDefault="000D79C4" w:rsidP="000D79C4">
      <w:pPr>
        <w:ind w:left="1304"/>
      </w:pPr>
    </w:p>
    <w:p w:rsidR="00C27A86" w:rsidRDefault="00C27A86" w:rsidP="000D79C4">
      <w:pPr>
        <w:ind w:left="1304"/>
      </w:pPr>
    </w:p>
    <w:p w:rsidR="000D79C4" w:rsidRDefault="000D79C4" w:rsidP="00D34286"/>
    <w:sectPr w:rsidR="000D79C4" w:rsidSect="005F1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22" w:rsidRDefault="00DC5422">
      <w:r>
        <w:separator/>
      </w:r>
    </w:p>
  </w:endnote>
  <w:endnote w:type="continuationSeparator" w:id="0">
    <w:p w:rsidR="00DC5422" w:rsidRDefault="00DC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DC5422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@STM_Uutiset</w:t>
    </w:r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22" w:rsidRDefault="00DC5422">
      <w:r>
        <w:separator/>
      </w:r>
    </w:p>
  </w:footnote>
  <w:footnote w:type="continuationSeparator" w:id="0">
    <w:p w:rsidR="00DC5422" w:rsidRDefault="00DC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DC5422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DC5422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:rsidTr="00A85860">
      <w:trPr>
        <w:cantSplit/>
      </w:trPr>
      <w:tc>
        <w:tcPr>
          <w:tcW w:w="4255" w:type="dxa"/>
          <w:vMerge w:val="restart"/>
        </w:tcPr>
        <w:p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:rsidR="005F1C27" w:rsidRPr="00124AFB" w:rsidRDefault="005F1C27" w:rsidP="005F1C27"/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DC5422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DC5422">
            <w:rPr>
              <w:rStyle w:val="Sivunumero"/>
              <w:noProof/>
            </w:rPr>
            <w:t>3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A85860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A85860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</w:p>
      </w:tc>
    </w:tr>
  </w:tbl>
  <w:p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83F94"/>
    <w:rsid w:val="00087E2B"/>
    <w:rsid w:val="00091A97"/>
    <w:rsid w:val="000D79C4"/>
    <w:rsid w:val="000F2157"/>
    <w:rsid w:val="00140EF8"/>
    <w:rsid w:val="00146B2A"/>
    <w:rsid w:val="00153384"/>
    <w:rsid w:val="002F52C2"/>
    <w:rsid w:val="003241A6"/>
    <w:rsid w:val="003C01B5"/>
    <w:rsid w:val="00404032"/>
    <w:rsid w:val="00451CEA"/>
    <w:rsid w:val="004C065B"/>
    <w:rsid w:val="004C2F28"/>
    <w:rsid w:val="00584043"/>
    <w:rsid w:val="005A430F"/>
    <w:rsid w:val="005B297E"/>
    <w:rsid w:val="005D383F"/>
    <w:rsid w:val="005F1333"/>
    <w:rsid w:val="005F1C27"/>
    <w:rsid w:val="005F2CDD"/>
    <w:rsid w:val="00710B79"/>
    <w:rsid w:val="007644E7"/>
    <w:rsid w:val="0077386C"/>
    <w:rsid w:val="007D053C"/>
    <w:rsid w:val="007D631B"/>
    <w:rsid w:val="008423BA"/>
    <w:rsid w:val="008D2F02"/>
    <w:rsid w:val="008E6496"/>
    <w:rsid w:val="008F3A17"/>
    <w:rsid w:val="009407C5"/>
    <w:rsid w:val="009472DE"/>
    <w:rsid w:val="009840D5"/>
    <w:rsid w:val="009C566F"/>
    <w:rsid w:val="00A85860"/>
    <w:rsid w:val="00AB1C8F"/>
    <w:rsid w:val="00AC6300"/>
    <w:rsid w:val="00AE0F66"/>
    <w:rsid w:val="00AF01F5"/>
    <w:rsid w:val="00BC5827"/>
    <w:rsid w:val="00BE4D11"/>
    <w:rsid w:val="00BF6A37"/>
    <w:rsid w:val="00C0067E"/>
    <w:rsid w:val="00C27A86"/>
    <w:rsid w:val="00C55D54"/>
    <w:rsid w:val="00D22A93"/>
    <w:rsid w:val="00D32FC1"/>
    <w:rsid w:val="00D34286"/>
    <w:rsid w:val="00DC5422"/>
    <w:rsid w:val="00DF29AA"/>
    <w:rsid w:val="00E067F2"/>
    <w:rsid w:val="00E40C68"/>
    <w:rsid w:val="00E6398E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24D7C4D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5736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Järvinen Johanna (STM)</dc:creator>
  <cp:keywords/>
  <cp:lastModifiedBy>Järvinen Johanna (STM)</cp:lastModifiedBy>
  <cp:revision>1</cp:revision>
  <dcterms:created xsi:type="dcterms:W3CDTF">2020-01-08T11:11:00Z</dcterms:created>
  <dcterms:modified xsi:type="dcterms:W3CDTF">2020-01-08T11:18:00Z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