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49" w:rsidRDefault="00C36F49" w:rsidP="00C36F49">
      <w:bookmarkStart w:id="0" w:name="_GoBack"/>
      <w:bookmarkEnd w:id="0"/>
      <w:r w:rsidRPr="00C36F49">
        <w:t>Vammaisten henkilöiden oikeuksien neuvottelukunta VANE</w:t>
      </w:r>
    </w:p>
    <w:p w:rsidR="000D79C4" w:rsidRPr="00695F09" w:rsidRDefault="00C36F49" w:rsidP="00333ECC">
      <w:pPr>
        <w:pStyle w:val="Otsikko1"/>
      </w:pPr>
      <w:r w:rsidRPr="00C36F49">
        <w:t>Asiantuntijalausunto</w:t>
      </w:r>
    </w:p>
    <w:p w:rsidR="0021542B" w:rsidRDefault="00C36F49" w:rsidP="0021542B">
      <w:r w:rsidRPr="00C36F49">
        <w:t>Liikenne- ja viestintävaliokunta</w:t>
      </w:r>
    </w:p>
    <w:p w:rsidR="00C36F49" w:rsidRDefault="00C36F49" w:rsidP="00C36F49">
      <w:pPr>
        <w:pStyle w:val="Otsikko2"/>
      </w:pPr>
      <w:r w:rsidRPr="00C36F49">
        <w:t>Asia: HE 41/2022 vp Hallituksen esitys eduskunnalle tuotteiden ja palvelujen esteettömyysvaatimuksia koskevan direktiivin täytäntöönpanoa koskevaksi lainsäädännöksi</w:t>
      </w:r>
    </w:p>
    <w:p w:rsidR="00C36F49" w:rsidRPr="00C36F49" w:rsidRDefault="00C36F49" w:rsidP="00C36F49">
      <w:r w:rsidRPr="00C36F49">
        <w:t>Vammaisten henkilöiden oikeuksien neuvottelukunta VANE on YK:n vammaisten henkilöiden oikeuksien yleissopimuksen (</w:t>
      </w:r>
      <w:proofErr w:type="spellStart"/>
      <w:r w:rsidRPr="00C36F49">
        <w:t>SopS</w:t>
      </w:r>
      <w:proofErr w:type="spellEnd"/>
      <w:r w:rsidRPr="00C36F49">
        <w:t xml:space="preserve"> 27/2016; vammaisyleissopimus) kansallinen koordinaatiomekanismi. Sen tehtävänä on edistää yleissopimuksen kansallista täytäntöönpanoa ja vammaisten henkilöiden oikeuksien huomioon ottamista kaikkien hallinnonalojen toiminnassa. Tässä asiantuntijalausunnossa asiaan otetaan kantaa vammaisyleissopimuksen velvoitteiden näkökulmasta.</w:t>
      </w:r>
    </w:p>
    <w:p w:rsidR="00C36F49" w:rsidRPr="00C36F49" w:rsidRDefault="00C36F49" w:rsidP="00C36F49">
      <w:r w:rsidRPr="00C36F49">
        <w:t>Vammaisyleissopimuksen tarkoituksena on edistää, suojella ja taata vammaisille henkilöille täysimääräisesti ja yhdenvertaisesti ihmisoikeudet ja perusvapaudet. Esteettömyys ja saavutettavuus ovat yleissopimuksen läpileikkaavia periaatteita. Vammaisyleissopimus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maaseutualueilla.</w:t>
      </w:r>
    </w:p>
    <w:p w:rsidR="00C36F49" w:rsidRPr="00C36F49" w:rsidRDefault="00C36F49" w:rsidP="00C36F49">
      <w:r w:rsidRPr="00C36F49">
        <w:t xml:space="preserve">Vammaisyleissopimus korostaa kaikille sopivan suunnittelun periaatetta. Kaikille sopivassa suunnittelussa tuotteet, ympäristöt, ohjelmat ja palvelut suunnitellaan sellaisiksi, että kaikki ihmiset voivat käyttää niitä mahdollisimman laajasti ilman mukautuksia tai erityisjärjestelyjä. </w:t>
      </w:r>
    </w:p>
    <w:p w:rsidR="00C36F49" w:rsidRPr="00C36F49" w:rsidRDefault="00C36F49" w:rsidP="00C36F49">
      <w:r w:rsidRPr="00C36F49">
        <w:t xml:space="preserve">VANE pitää esteettömyysdirektiivin kansallista toimeenpanoa tärkeänä. Esteettömyys ja saavutettavuus ovat monessa tapauksissa edellytyksiä vammaisten henkilöiden itsenäisen elämän toteutumiselle. Esityksellä on myönteisiä vaikutuksia vammaisten henkilöiden oikeuksien toteutumiselle monella eri elämänalalla. Se esimerkiksi parantaa vammaisten henkilöiden liikkumismahdollisuuksia ja mahdollisuuksia opiskella ja tehdä työtä yhdenvertaisesti muiden kanssa. </w:t>
      </w:r>
    </w:p>
    <w:p w:rsidR="00C36F49" w:rsidRPr="00C36F49" w:rsidRDefault="00C36F49" w:rsidP="00C36F49">
      <w:r w:rsidRPr="00C36F49">
        <w:t xml:space="preserve">VANE pitää tärkeänä, että lain toimeenpanoon ja valvontaan varataan </w:t>
      </w:r>
      <w:r w:rsidRPr="00C36F49">
        <w:rPr>
          <w:b/>
        </w:rPr>
        <w:t>riittävät resurssit</w:t>
      </w:r>
      <w:r w:rsidRPr="00C36F49">
        <w:t>. Yhteiskunnassa kaivataan laajasti tietoa paitsi nyt käsittelyssä olevan lainsäädännön sisällöstä ja käytännön toimeenpanosta myös yleisemmin esteettömyyden ja saavutettavuuden positiivisista vaikutuksista ihmisten yhdenvertaisuuteen ja yritystoimintaan.</w:t>
      </w:r>
    </w:p>
    <w:p w:rsidR="00C36F49" w:rsidRPr="00C36F49" w:rsidRDefault="00C36F49" w:rsidP="00C36F49">
      <w:pPr>
        <w:rPr>
          <w:b/>
        </w:rPr>
      </w:pPr>
      <w:r w:rsidRPr="00C36F49">
        <w:rPr>
          <w:b/>
        </w:rPr>
        <w:t xml:space="preserve">VANE toteaa, että direktiivissä on rakennetun ympäristön osalta kansallista liikkumavaraa. VANE pitää tärkeänä direktiivin tavoitteiden toteutumisen kannalta, että jatkotyössä esteettömyysdirektiivin liite III, joka koskee rakennettua ympäristöä, toimeenpannaan kansallisesti. </w:t>
      </w:r>
    </w:p>
    <w:p w:rsidR="00C36F49" w:rsidRDefault="00C36F49" w:rsidP="00C36F49"/>
    <w:p w:rsidR="00C36F49" w:rsidRDefault="00C36F49" w:rsidP="00C36F49">
      <w:r>
        <w:t>Vammaisten henkilöiden oikeuksien neuvottelukunta</w:t>
      </w:r>
    </w:p>
    <w:p w:rsidR="00C36F49" w:rsidRPr="00C36F49" w:rsidRDefault="00C36F49" w:rsidP="00C36F49">
      <w:r>
        <w:t>Merja Heikkonen, pääsihteeri</w:t>
      </w:r>
    </w:p>
    <w:sectPr w:rsidR="00C36F49" w:rsidRPr="00C36F49" w:rsidSect="00964BFC">
      <w:headerReference w:type="even" r:id="rId8"/>
      <w:headerReference w:type="default" r:id="rId9"/>
      <w:footerReference w:type="even" r:id="rId10"/>
      <w:footerReference w:type="default" r:id="rId11"/>
      <w:headerReference w:type="first" r:id="rId12"/>
      <w:footerReference w:type="first" r:id="rId13"/>
      <w:pgSz w:w="11906" w:h="16838" w:code="9"/>
      <w:pgMar w:top="964" w:right="567" w:bottom="1701" w:left="1701" w:header="96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20C" w:rsidRDefault="00A6220C" w:rsidP="00964BFC">
      <w:r>
        <w:separator/>
      </w:r>
    </w:p>
    <w:p w:rsidR="00A6220C" w:rsidRDefault="00A6220C" w:rsidP="00964BFC"/>
    <w:p w:rsidR="00A6220C" w:rsidRDefault="00A6220C" w:rsidP="00964BFC"/>
  </w:endnote>
  <w:endnote w:type="continuationSeparator" w:id="0">
    <w:p w:rsidR="00A6220C" w:rsidRDefault="00A6220C" w:rsidP="00964BFC">
      <w:r>
        <w:continuationSeparator/>
      </w:r>
    </w:p>
    <w:p w:rsidR="00A6220C" w:rsidRDefault="00A6220C" w:rsidP="00964BFC"/>
    <w:p w:rsidR="00A6220C" w:rsidRDefault="00A6220C" w:rsidP="00964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rsidP="00964BFC">
    <w:pPr>
      <w:pStyle w:val="Alatunniste"/>
    </w:pPr>
  </w:p>
  <w:p w:rsidR="007146C2" w:rsidRDefault="007146C2" w:rsidP="00964B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21542B" w:rsidRDefault="00C36F49" w:rsidP="0021542B">
    <w:pPr>
      <w:pStyle w:val="alatunniste0"/>
      <w:ind w:left="-993"/>
      <w:rPr>
        <w:rStyle w:val="alatunnisteChar0"/>
        <w:spacing w:val="8"/>
        <w:lang w:val="fi-FI"/>
      </w:rPr>
    </w:pPr>
    <w:r>
      <w:rPr>
        <w:lang w:val="fi-FI"/>
      </w:rPr>
      <w:drawing>
        <wp:anchor distT="0" distB="0" distL="114300" distR="114300" simplePos="0" relativeHeight="251658240" behindDoc="1" locked="1" layoutInCell="0" allowOverlap="1">
          <wp:simplePos x="0" y="0"/>
          <wp:positionH relativeFrom="page">
            <wp:posOffset>-203835</wp:posOffset>
          </wp:positionH>
          <wp:positionV relativeFrom="page">
            <wp:posOffset>9756140</wp:posOffset>
          </wp:positionV>
          <wp:extent cx="7774305" cy="941705"/>
          <wp:effectExtent l="0" t="0" r="0" b="0"/>
          <wp:wrapNone/>
          <wp:docPr id="2" name="Kuva 2" descr="suom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omi-01"/>
                  <pic:cNvPicPr>
                    <a:picLocks noChangeAspect="1" noChangeArrowheads="1"/>
                  </pic:cNvPicPr>
                </pic:nvPicPr>
                <pic:blipFill>
                  <a:blip r:embed="rId1">
                    <a:extLst>
                      <a:ext uri="{28A0092B-C50C-407E-A947-70E740481C1C}">
                        <a14:useLocalDpi xmlns:a14="http://schemas.microsoft.com/office/drawing/2010/main" val="0"/>
                      </a:ext>
                    </a:extLst>
                  </a:blip>
                  <a:srcRect t="86794"/>
                  <a:stretch>
                    <a:fillRect/>
                  </a:stretch>
                </pic:blipFill>
                <pic:spPr bwMode="auto">
                  <a:xfrm>
                    <a:off x="0" y="0"/>
                    <a:ext cx="7774305" cy="941705"/>
                  </a:xfrm>
                  <a:prstGeom prst="rect">
                    <a:avLst/>
                  </a:prstGeom>
                  <a:noFill/>
                </pic:spPr>
              </pic:pic>
            </a:graphicData>
          </a:graphic>
          <wp14:sizeRelH relativeFrom="page">
            <wp14:pctWidth>0</wp14:pctWidth>
          </wp14:sizeRelH>
          <wp14:sizeRelV relativeFrom="page">
            <wp14:pctHeight>0</wp14:pctHeight>
          </wp14:sizeRelV>
        </wp:anchor>
      </w:drawing>
    </w:r>
    <w:r w:rsidR="00EA0C82" w:rsidRPr="00964BFC">
      <w:rPr>
        <w:lang w:val="fi-FI"/>
      </w:rPr>
      <w:t>S</w:t>
    </w:r>
    <w:r w:rsidR="0021542B">
      <w:rPr>
        <w:spacing w:val="8"/>
        <w:lang w:val="fi-FI"/>
      </w:rPr>
      <w:t>OSI</w:t>
    </w:r>
    <w:r w:rsidR="0021542B" w:rsidRPr="0021542B">
      <w:rPr>
        <w:spacing w:val="8"/>
        <w:lang w:val="fi-FI"/>
      </w:rPr>
      <w:t>AALI</w:t>
    </w:r>
    <w:r w:rsidR="0021542B" w:rsidRPr="0021542B">
      <w:rPr>
        <w:rStyle w:val="alatunnisteChar0"/>
        <w:spacing w:val="8"/>
        <w:lang w:val="fi-FI"/>
      </w:rPr>
      <w:t xml:space="preserve">- JA TERVEYSMINISTERIÖ </w:t>
    </w:r>
  </w:p>
  <w:p w:rsidR="007146C2" w:rsidRPr="00E914BD" w:rsidRDefault="0021542B" w:rsidP="0021542B">
    <w:pPr>
      <w:pStyle w:val="alatunniste0"/>
      <w:ind w:left="-993"/>
      <w:rPr>
        <w:lang w:val="fi-FI"/>
      </w:rPr>
    </w:pPr>
    <w:r w:rsidRPr="00964BFC">
      <w:rPr>
        <w:rStyle w:val="alatunnisteChar0"/>
        <w:lang w:val="fi-FI"/>
      </w:rPr>
      <w:t>Meritullinkatu 8, Helsinki</w:t>
    </w:r>
    <w:r>
      <w:t> </w:t>
    </w:r>
    <w:r w:rsidRPr="0021542B">
      <w:rPr>
        <w:lang w:val="fi-FI"/>
      </w:rPr>
      <w:t>|</w:t>
    </w:r>
    <w:r>
      <w:t> </w:t>
    </w:r>
    <w:r>
      <w:rPr>
        <w:rStyle w:val="alatunnisteChar0"/>
        <w:lang w:val="fi-FI"/>
      </w:rPr>
      <w:t>PL 33, 00023 Valtioneuvosto</w:t>
    </w:r>
    <w:r>
      <w:t> </w:t>
    </w:r>
    <w:r w:rsidRPr="0021542B">
      <w:rPr>
        <w:lang w:val="fi-FI"/>
      </w:rPr>
      <w:t>|</w:t>
    </w:r>
    <w:r>
      <w:t> </w:t>
    </w:r>
    <w:r w:rsidRPr="00E914BD">
      <w:rPr>
        <w:rStyle w:val="alatunnisteChar0"/>
        <w:lang w:val="fi-FI"/>
      </w:rPr>
      <w:t>0295 16001,</w:t>
    </w:r>
    <w:r w:rsidRPr="00E914BD">
      <w:rPr>
        <w:lang w:val="fi-FI"/>
      </w:rPr>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21542B" w:rsidRDefault="00A6220C" w:rsidP="00964BFC">
    <w:pPr>
      <w:pStyle w:val="alatunniste0"/>
      <w:ind w:left="-993"/>
      <w:rPr>
        <w:rStyle w:val="alatunnisteChar0"/>
        <w:spacing w:val="8"/>
        <w:lang w:val="fi-FI"/>
      </w:rPr>
    </w:pPr>
    <w:r>
      <w:rPr>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216;mso-position-horizontal-relative:page;mso-position-vertical-relative:page" o:allowincell="f">
          <v:imagedata r:id="rId1" o:title="suomi-01" croptop="56881f"/>
          <w10:wrap anchorx="page" anchory="page"/>
          <w10:anchorlock/>
        </v:shape>
      </w:pict>
    </w:r>
    <w:r w:rsidR="00E16C3D" w:rsidRPr="0021542B">
      <w:rPr>
        <w:spacing w:val="8"/>
        <w:lang w:val="fi-FI"/>
      </w:rPr>
      <w:t>SOSIAALI</w:t>
    </w:r>
    <w:r w:rsidR="00E16C3D" w:rsidRPr="0021542B">
      <w:rPr>
        <w:rStyle w:val="alatunnisteChar0"/>
        <w:spacing w:val="8"/>
        <w:lang w:val="fi-FI"/>
      </w:rPr>
      <w:t xml:space="preserve">- JA TERVEYSMINISTERIÖ </w:t>
    </w:r>
  </w:p>
  <w:p w:rsidR="00D34286" w:rsidRPr="00E914BD" w:rsidRDefault="00E16C3D" w:rsidP="00964BFC">
    <w:pPr>
      <w:pStyle w:val="alatunniste0"/>
      <w:ind w:left="-993"/>
      <w:rPr>
        <w:lang w:val="fi-FI"/>
      </w:rPr>
    </w:pPr>
    <w:r w:rsidRPr="00964BFC">
      <w:rPr>
        <w:rStyle w:val="alatunnisteChar0"/>
        <w:lang w:val="fi-FI"/>
      </w:rPr>
      <w:t>Meritullinkatu 8, Helsinki</w:t>
    </w:r>
    <w:r w:rsidR="0021542B">
      <w:t> </w:t>
    </w:r>
    <w:r w:rsidR="0021542B" w:rsidRPr="0021542B">
      <w:rPr>
        <w:lang w:val="fi-FI"/>
      </w:rPr>
      <w:t>|</w:t>
    </w:r>
    <w:r w:rsidR="0021542B">
      <w:t> </w:t>
    </w:r>
    <w:r w:rsidR="0021542B">
      <w:rPr>
        <w:rStyle w:val="alatunnisteChar0"/>
        <w:lang w:val="fi-FI"/>
      </w:rPr>
      <w:t>PL 33, 00023 Valtioneuvosto</w:t>
    </w:r>
    <w:r w:rsidR="0021542B">
      <w:t> </w:t>
    </w:r>
    <w:r w:rsidR="0021542B" w:rsidRPr="0021542B">
      <w:rPr>
        <w:lang w:val="fi-FI"/>
      </w:rPr>
      <w:t>|</w:t>
    </w:r>
    <w:r w:rsidR="0021542B">
      <w:t> </w:t>
    </w:r>
    <w:r w:rsidRPr="00E914BD">
      <w:rPr>
        <w:rStyle w:val="alatunnisteChar0"/>
        <w:lang w:val="fi-FI"/>
      </w:rPr>
      <w:t>0295 16001,</w:t>
    </w:r>
    <w:r w:rsidRPr="00E914BD">
      <w:rPr>
        <w:lang w:val="fi-FI"/>
      </w:rPr>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20C" w:rsidRDefault="00A6220C" w:rsidP="00964BFC">
      <w:r>
        <w:separator/>
      </w:r>
    </w:p>
    <w:p w:rsidR="00A6220C" w:rsidRDefault="00A6220C" w:rsidP="00964BFC"/>
    <w:p w:rsidR="00A6220C" w:rsidRDefault="00A6220C" w:rsidP="00964BFC"/>
  </w:footnote>
  <w:footnote w:type="continuationSeparator" w:id="0">
    <w:p w:rsidR="00A6220C" w:rsidRDefault="00A6220C" w:rsidP="00964BFC">
      <w:r>
        <w:continuationSeparator/>
      </w:r>
    </w:p>
    <w:p w:rsidR="00A6220C" w:rsidRDefault="00A6220C" w:rsidP="00964BFC"/>
    <w:p w:rsidR="00A6220C" w:rsidRDefault="00A6220C" w:rsidP="00964B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pPr>
      <w:pStyle w:val="Yltunniste"/>
    </w:pPr>
  </w:p>
  <w:p w:rsidR="007146C2" w:rsidRDefault="007146C2" w:rsidP="00964B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rsidTr="00964BFC">
      <w:trPr>
        <w:cantSplit/>
        <w:trHeight w:hRule="exact" w:val="284"/>
      </w:trPr>
      <w:tc>
        <w:tcPr>
          <w:tcW w:w="4301" w:type="dxa"/>
          <w:vMerge w:val="restart"/>
        </w:tcPr>
        <w:p w:rsidR="00607057" w:rsidRPr="00607057" w:rsidRDefault="00607057" w:rsidP="00964BFC">
          <w:r w:rsidRPr="00607057">
            <w:rPr>
              <w:noProof/>
            </w:rPr>
            <w:drawing>
              <wp:anchor distT="0" distB="0" distL="114300" distR="114300" simplePos="0" relativeHeight="251657216" behindDoc="1" locked="1" layoutInCell="1" allowOverlap="1" wp14:anchorId="6A69AFE8" wp14:editId="738E46B2">
                <wp:simplePos x="0" y="0"/>
                <wp:positionH relativeFrom="page">
                  <wp:posOffset>-6350</wp:posOffset>
                </wp:positionH>
                <wp:positionV relativeFrom="page">
                  <wp:posOffset>3175</wp:posOffset>
                </wp:positionV>
                <wp:extent cx="1650365" cy="393065"/>
                <wp:effectExtent l="0" t="0" r="6985" b="6985"/>
                <wp:wrapNone/>
                <wp:docPr id="26" name="Kuva 26"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07057" w:rsidRPr="00607057" w:rsidRDefault="00607057" w:rsidP="00964BFC">
          <w:pPr>
            <w:pStyle w:val="Ylosanteksti"/>
          </w:pPr>
        </w:p>
      </w:tc>
      <w:tc>
        <w:tcPr>
          <w:tcW w:w="1399" w:type="dxa"/>
        </w:tcPr>
        <w:p w:rsidR="00607057" w:rsidRPr="00607057" w:rsidRDefault="00607057" w:rsidP="00964BFC">
          <w:pPr>
            <w:pStyle w:val="Ylosanteksti"/>
          </w:pPr>
        </w:p>
      </w:tc>
      <w:tc>
        <w:tcPr>
          <w:tcW w:w="1008" w:type="dxa"/>
        </w:tcPr>
        <w:p w:rsidR="00607057" w:rsidRPr="00607057" w:rsidRDefault="00607057" w:rsidP="00964BFC">
          <w:pPr>
            <w:pStyle w:val="Ylosanteksti"/>
            <w:jc w:val="right"/>
          </w:pPr>
          <w:r w:rsidRPr="00607057">
            <w:fldChar w:fldCharType="begin"/>
          </w:r>
          <w:r w:rsidRPr="00607057">
            <w:instrText xml:space="preserve"> PAGE </w:instrText>
          </w:r>
          <w:r w:rsidRPr="00607057">
            <w:fldChar w:fldCharType="separate"/>
          </w:r>
          <w:r w:rsidR="0021542B">
            <w:rPr>
              <w:noProof/>
            </w:rPr>
            <w:t>2</w:t>
          </w:r>
          <w:r w:rsidRPr="00607057">
            <w:fldChar w:fldCharType="end"/>
          </w:r>
          <w:r w:rsidRPr="00607057">
            <w:t>(</w:t>
          </w:r>
          <w:r w:rsidRPr="00607057">
            <w:fldChar w:fldCharType="begin"/>
          </w:r>
          <w:r w:rsidRPr="00607057">
            <w:instrText xml:space="preserve"> NUMPAGES </w:instrText>
          </w:r>
          <w:r w:rsidRPr="00607057">
            <w:fldChar w:fldCharType="separate"/>
          </w:r>
          <w:r w:rsidR="0021542B">
            <w:rPr>
              <w:noProof/>
            </w:rPr>
            <w:t>2</w:t>
          </w:r>
          <w:r w:rsidRPr="00607057">
            <w:fldChar w:fldCharType="end"/>
          </w:r>
          <w:r w:rsidRPr="00607057">
            <w:t>)</w:t>
          </w:r>
        </w:p>
      </w:tc>
    </w:tr>
    <w:tr w:rsidR="00607057" w:rsidRPr="00607057" w:rsidTr="00964BFC">
      <w:trPr>
        <w:cantSplit/>
        <w:trHeight w:val="283"/>
      </w:trPr>
      <w:tc>
        <w:tcPr>
          <w:tcW w:w="4301" w:type="dxa"/>
          <w:vMerge/>
        </w:tcPr>
        <w:p w:rsidR="00607057" w:rsidRPr="00607057" w:rsidRDefault="00607057" w:rsidP="00964BFC"/>
      </w:tc>
      <w:tc>
        <w:tcPr>
          <w:tcW w:w="3584" w:type="dxa"/>
          <w:tcMar>
            <w:right w:w="284" w:type="dxa"/>
          </w:tcMar>
        </w:tcPr>
        <w:p w:rsidR="00607057" w:rsidRPr="00607057" w:rsidRDefault="00607057" w:rsidP="00964BFC">
          <w:pPr>
            <w:pStyle w:val="Ylosanteksti"/>
          </w:pPr>
        </w:p>
      </w:tc>
      <w:tc>
        <w:tcPr>
          <w:tcW w:w="1399" w:type="dxa"/>
        </w:tcPr>
        <w:p w:rsidR="00607057" w:rsidRPr="00607057" w:rsidRDefault="00607057" w:rsidP="00964BFC">
          <w:pPr>
            <w:pStyle w:val="Ylosanteksti"/>
          </w:pPr>
        </w:p>
      </w:tc>
      <w:tc>
        <w:tcPr>
          <w:tcW w:w="1008" w:type="dxa"/>
        </w:tcPr>
        <w:p w:rsidR="00607057" w:rsidRPr="00607057" w:rsidRDefault="00607057" w:rsidP="00964BFC">
          <w:pPr>
            <w:pStyle w:val="Ylosanteksti"/>
          </w:pPr>
        </w:p>
      </w:tc>
    </w:tr>
    <w:tr w:rsidR="00607057" w:rsidRPr="00607057" w:rsidTr="00964BFC">
      <w:trPr>
        <w:cantSplit/>
        <w:trHeight w:val="283"/>
      </w:trPr>
      <w:tc>
        <w:tcPr>
          <w:tcW w:w="4301" w:type="dxa"/>
          <w:vMerge/>
        </w:tcPr>
        <w:p w:rsidR="00607057" w:rsidRPr="00607057" w:rsidRDefault="00607057" w:rsidP="00964BFC"/>
      </w:tc>
      <w:tc>
        <w:tcPr>
          <w:tcW w:w="3584" w:type="dxa"/>
          <w:tcMar>
            <w:right w:w="284" w:type="dxa"/>
          </w:tcMar>
        </w:tcPr>
        <w:p w:rsidR="00607057" w:rsidRPr="00607057" w:rsidRDefault="00607057" w:rsidP="00964BFC">
          <w:pPr>
            <w:pStyle w:val="Ylosanteksti"/>
            <w:rPr>
              <w:color w:val="000000" w:themeColor="text1"/>
            </w:rPr>
          </w:pPr>
        </w:p>
      </w:tc>
      <w:tc>
        <w:tcPr>
          <w:tcW w:w="2407" w:type="dxa"/>
          <w:gridSpan w:val="2"/>
        </w:tcPr>
        <w:p w:rsidR="00607057" w:rsidRPr="00607057" w:rsidRDefault="00607057" w:rsidP="00964BFC">
          <w:pPr>
            <w:pStyle w:val="Ylosanteksti"/>
          </w:pPr>
        </w:p>
      </w:tc>
    </w:tr>
  </w:tbl>
  <w:p w:rsidR="007146C2" w:rsidRDefault="007146C2" w:rsidP="00964B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rsidTr="00964BFC">
      <w:trPr>
        <w:cantSplit/>
        <w:trHeight w:hRule="exact" w:val="284"/>
      </w:trPr>
      <w:tc>
        <w:tcPr>
          <w:tcW w:w="4301" w:type="dxa"/>
          <w:vMerge w:val="restart"/>
        </w:tcPr>
        <w:p w:rsidR="00693409" w:rsidRPr="00987AD7" w:rsidRDefault="00693409" w:rsidP="00964BFC">
          <w:r>
            <w:rPr>
              <w:noProof/>
            </w:rPr>
            <w:drawing>
              <wp:anchor distT="0" distB="0" distL="114300" distR="114300" simplePos="0" relativeHeight="251656192" behindDoc="1" locked="1" layoutInCell="1" allowOverlap="1" wp14:anchorId="7E91617A" wp14:editId="2A557B09">
                <wp:simplePos x="0" y="0"/>
                <wp:positionH relativeFrom="page">
                  <wp:posOffset>-6350</wp:posOffset>
                </wp:positionH>
                <wp:positionV relativeFrom="page">
                  <wp:posOffset>3175</wp:posOffset>
                </wp:positionV>
                <wp:extent cx="1650365" cy="393065"/>
                <wp:effectExtent l="0" t="0" r="6985" b="6985"/>
                <wp:wrapNone/>
                <wp:docPr id="27" name="Kuva 27"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93409" w:rsidRPr="00607057" w:rsidRDefault="00C36F49" w:rsidP="00693409">
          <w:pPr>
            <w:pStyle w:val="Ylosanteksti"/>
            <w:rPr>
              <w:sz w:val="18"/>
              <w:szCs w:val="18"/>
            </w:rPr>
          </w:pPr>
          <w:r>
            <w:rPr>
              <w:sz w:val="18"/>
              <w:szCs w:val="18"/>
            </w:rPr>
            <w:t>22.4.2022</w:t>
          </w:r>
        </w:p>
      </w:tc>
      <w:tc>
        <w:tcPr>
          <w:tcW w:w="1399" w:type="dxa"/>
        </w:tcPr>
        <w:p w:rsidR="00693409" w:rsidRPr="00124AFB" w:rsidRDefault="00693409" w:rsidP="00964BFC"/>
      </w:tc>
      <w:tc>
        <w:tcPr>
          <w:tcW w:w="1008" w:type="dxa"/>
        </w:tcPr>
        <w:p w:rsidR="00693409" w:rsidRPr="00693409" w:rsidRDefault="00693409" w:rsidP="00964BFC">
          <w:pPr>
            <w:pStyle w:val="Ylosanteksti"/>
            <w:jc w:val="right"/>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5C1D79">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5C1D79">
            <w:rPr>
              <w:rStyle w:val="Sivunumero"/>
              <w:noProof/>
            </w:rPr>
            <w:t>1</w:t>
          </w:r>
          <w:r w:rsidRPr="00693409">
            <w:rPr>
              <w:rStyle w:val="Sivunumero"/>
            </w:rPr>
            <w:fldChar w:fldCharType="end"/>
          </w:r>
          <w:r w:rsidRPr="00693409">
            <w:rPr>
              <w:rStyle w:val="Sivunumero"/>
            </w:rPr>
            <w:t>)</w:t>
          </w:r>
        </w:p>
      </w:tc>
    </w:tr>
    <w:tr w:rsidR="00693409" w:rsidRPr="00987AD7" w:rsidTr="00964BFC">
      <w:trPr>
        <w:cantSplit/>
        <w:trHeight w:val="283"/>
      </w:trPr>
      <w:tc>
        <w:tcPr>
          <w:tcW w:w="4301" w:type="dxa"/>
          <w:vMerge/>
        </w:tcPr>
        <w:p w:rsidR="00693409" w:rsidRPr="00987AD7" w:rsidRDefault="00693409" w:rsidP="00964BFC">
          <w:pPr>
            <w:rPr>
              <w:rStyle w:val="Sivunumero"/>
            </w:rPr>
          </w:pPr>
        </w:p>
      </w:tc>
      <w:tc>
        <w:tcPr>
          <w:tcW w:w="3584" w:type="dxa"/>
          <w:tcMar>
            <w:right w:w="284" w:type="dxa"/>
          </w:tcMar>
        </w:tcPr>
        <w:p w:rsidR="00693409" w:rsidRPr="00607057" w:rsidRDefault="00693409" w:rsidP="00964BFC">
          <w:pPr>
            <w:pStyle w:val="Ylosanteksti"/>
            <w:rPr>
              <w:rStyle w:val="Sivunumero"/>
              <w:sz w:val="18"/>
              <w:szCs w:val="18"/>
            </w:rPr>
          </w:pPr>
        </w:p>
      </w:tc>
      <w:tc>
        <w:tcPr>
          <w:tcW w:w="1399" w:type="dxa"/>
        </w:tcPr>
        <w:p w:rsidR="00693409" w:rsidRPr="00987AD7" w:rsidRDefault="00693409" w:rsidP="00964BFC">
          <w:pPr>
            <w:pStyle w:val="Ylosanteksti"/>
            <w:rPr>
              <w:rStyle w:val="Sivunumero"/>
            </w:rPr>
          </w:pPr>
        </w:p>
      </w:tc>
      <w:tc>
        <w:tcPr>
          <w:tcW w:w="1008" w:type="dxa"/>
        </w:tcPr>
        <w:p w:rsidR="00693409" w:rsidRPr="00987AD7" w:rsidRDefault="00693409" w:rsidP="00964BFC">
          <w:pPr>
            <w:pStyle w:val="Ylosanteksti"/>
            <w:rPr>
              <w:rStyle w:val="Sivunumero"/>
            </w:rPr>
          </w:pPr>
        </w:p>
      </w:tc>
    </w:tr>
    <w:tr w:rsidR="00693409" w:rsidRPr="00987AD7" w:rsidTr="00964BFC">
      <w:trPr>
        <w:cantSplit/>
        <w:trHeight w:val="283"/>
      </w:trPr>
      <w:tc>
        <w:tcPr>
          <w:tcW w:w="4301" w:type="dxa"/>
          <w:vMerge/>
        </w:tcPr>
        <w:p w:rsidR="00693409" w:rsidRPr="00987AD7" w:rsidRDefault="00693409" w:rsidP="00964BFC">
          <w:pPr>
            <w:rPr>
              <w:rStyle w:val="Sivunumero"/>
            </w:rPr>
          </w:pPr>
        </w:p>
      </w:tc>
      <w:tc>
        <w:tcPr>
          <w:tcW w:w="3584" w:type="dxa"/>
          <w:tcMar>
            <w:right w:w="284" w:type="dxa"/>
          </w:tcMar>
        </w:tcPr>
        <w:p w:rsidR="00693409" w:rsidRPr="00607057" w:rsidRDefault="00693409" w:rsidP="00964BFC">
          <w:pPr>
            <w:pStyle w:val="Ylosanteksti"/>
            <w:rPr>
              <w:rStyle w:val="Sivunumero"/>
              <w:color w:val="000000" w:themeColor="text1"/>
              <w:sz w:val="18"/>
              <w:szCs w:val="18"/>
            </w:rPr>
          </w:pPr>
        </w:p>
      </w:tc>
      <w:tc>
        <w:tcPr>
          <w:tcW w:w="2407" w:type="dxa"/>
          <w:gridSpan w:val="2"/>
        </w:tcPr>
        <w:p w:rsidR="00693409" w:rsidRPr="00124AFB" w:rsidRDefault="00693409" w:rsidP="00964BFC">
          <w:pPr>
            <w:pStyle w:val="Ylosanteksti"/>
            <w:rPr>
              <w:rStyle w:val="Sivunumero"/>
            </w:rPr>
          </w:pPr>
        </w:p>
      </w:tc>
    </w:tr>
  </w:tbl>
  <w:p w:rsidR="007146C2" w:rsidRDefault="007146C2" w:rsidP="00964B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373BD"/>
    <w:rsid w:val="00083F94"/>
    <w:rsid w:val="00086533"/>
    <w:rsid w:val="00087E2B"/>
    <w:rsid w:val="00091A97"/>
    <w:rsid w:val="000D79C4"/>
    <w:rsid w:val="000F2157"/>
    <w:rsid w:val="00140EF8"/>
    <w:rsid w:val="00146B2A"/>
    <w:rsid w:val="00153384"/>
    <w:rsid w:val="001B53F6"/>
    <w:rsid w:val="0021542B"/>
    <w:rsid w:val="00262313"/>
    <w:rsid w:val="0027582D"/>
    <w:rsid w:val="002F52C2"/>
    <w:rsid w:val="003241A6"/>
    <w:rsid w:val="00333D17"/>
    <w:rsid w:val="00333ECC"/>
    <w:rsid w:val="003343C1"/>
    <w:rsid w:val="00357C93"/>
    <w:rsid w:val="003C01B5"/>
    <w:rsid w:val="003F269A"/>
    <w:rsid w:val="003F7B63"/>
    <w:rsid w:val="00404032"/>
    <w:rsid w:val="00447512"/>
    <w:rsid w:val="00451CEA"/>
    <w:rsid w:val="00473EE0"/>
    <w:rsid w:val="004776D5"/>
    <w:rsid w:val="004C2F28"/>
    <w:rsid w:val="00537B74"/>
    <w:rsid w:val="00584043"/>
    <w:rsid w:val="005A5A4A"/>
    <w:rsid w:val="005B297E"/>
    <w:rsid w:val="005C1D79"/>
    <w:rsid w:val="005F1333"/>
    <w:rsid w:val="005F1C27"/>
    <w:rsid w:val="005F2CDD"/>
    <w:rsid w:val="00607057"/>
    <w:rsid w:val="00693409"/>
    <w:rsid w:val="00695F09"/>
    <w:rsid w:val="006B7082"/>
    <w:rsid w:val="00705D07"/>
    <w:rsid w:val="00710B79"/>
    <w:rsid w:val="007146C2"/>
    <w:rsid w:val="007644E7"/>
    <w:rsid w:val="0077386C"/>
    <w:rsid w:val="007D053C"/>
    <w:rsid w:val="007D631B"/>
    <w:rsid w:val="008423BA"/>
    <w:rsid w:val="008640D7"/>
    <w:rsid w:val="00881FE7"/>
    <w:rsid w:val="00886936"/>
    <w:rsid w:val="008D2F02"/>
    <w:rsid w:val="008E6496"/>
    <w:rsid w:val="008F3A17"/>
    <w:rsid w:val="009407C5"/>
    <w:rsid w:val="009472DE"/>
    <w:rsid w:val="00964BFC"/>
    <w:rsid w:val="00980A82"/>
    <w:rsid w:val="009840D5"/>
    <w:rsid w:val="00985BFD"/>
    <w:rsid w:val="009A752F"/>
    <w:rsid w:val="009C566F"/>
    <w:rsid w:val="00A00B76"/>
    <w:rsid w:val="00A6220C"/>
    <w:rsid w:val="00A85860"/>
    <w:rsid w:val="00AB1C8F"/>
    <w:rsid w:val="00AC6300"/>
    <w:rsid w:val="00AE0F66"/>
    <w:rsid w:val="00AF01F5"/>
    <w:rsid w:val="00B73116"/>
    <w:rsid w:val="00BC5827"/>
    <w:rsid w:val="00BD460E"/>
    <w:rsid w:val="00BE4D11"/>
    <w:rsid w:val="00BE6CAF"/>
    <w:rsid w:val="00BF6A37"/>
    <w:rsid w:val="00C0067E"/>
    <w:rsid w:val="00C00926"/>
    <w:rsid w:val="00C27A86"/>
    <w:rsid w:val="00C36F49"/>
    <w:rsid w:val="00CF7A25"/>
    <w:rsid w:val="00D22A93"/>
    <w:rsid w:val="00D32FC1"/>
    <w:rsid w:val="00D34286"/>
    <w:rsid w:val="00D72423"/>
    <w:rsid w:val="00D96D90"/>
    <w:rsid w:val="00DE336C"/>
    <w:rsid w:val="00DF29AA"/>
    <w:rsid w:val="00E067F2"/>
    <w:rsid w:val="00E16C3D"/>
    <w:rsid w:val="00E40C68"/>
    <w:rsid w:val="00E433C7"/>
    <w:rsid w:val="00E6398E"/>
    <w:rsid w:val="00E76859"/>
    <w:rsid w:val="00E8441D"/>
    <w:rsid w:val="00E914BD"/>
    <w:rsid w:val="00EA0C82"/>
    <w:rsid w:val="00EC020C"/>
    <w:rsid w:val="00EC54F4"/>
    <w:rsid w:val="00EE41F5"/>
    <w:rsid w:val="00F94A0D"/>
    <w:rsid w:val="00FA7295"/>
    <w:rsid w:val="00FD5426"/>
    <w:rsid w:val="00FD56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410BB77B-59B0-4D12-9B80-AC17B98C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441D"/>
    <w:pPr>
      <w:spacing w:before="120" w:line="276" w:lineRule="auto"/>
    </w:pPr>
  </w:style>
  <w:style w:type="paragraph" w:styleId="Otsikko1">
    <w:name w:val="heading 1"/>
    <w:next w:val="Normaali"/>
    <w:qFormat/>
    <w:rsid w:val="00333ECC"/>
    <w:pPr>
      <w:keepNext/>
      <w:spacing w:before="240" w:after="120"/>
      <w:ind w:left="-851"/>
      <w:contextualSpacing/>
      <w:outlineLvl w:val="0"/>
    </w:pPr>
    <w:rPr>
      <w:b/>
      <w:bCs/>
      <w:kern w:val="32"/>
      <w:sz w:val="28"/>
      <w:szCs w:val="32"/>
    </w:rPr>
  </w:style>
  <w:style w:type="paragraph" w:styleId="Otsikko2">
    <w:name w:val="heading 2"/>
    <w:basedOn w:val="Normaali"/>
    <w:next w:val="Normaali"/>
    <w:link w:val="Otsikko2Char"/>
    <w:unhideWhenUsed/>
    <w:qFormat/>
    <w:rsid w:val="00333ECC"/>
    <w:pPr>
      <w:keepNext/>
      <w:keepLines/>
      <w:spacing w:before="200" w:after="120"/>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FA7295"/>
    <w:pPr>
      <w:keepNext/>
      <w:keepLines/>
      <w:spacing w:before="240" w:line="216" w:lineRule="auto"/>
      <w:ind w:left="-851"/>
      <w:outlineLvl w:val="2"/>
    </w:pPr>
    <w:rPr>
      <w:rFonts w:eastAsiaTheme="majorEastAsia" w:cs="Arial"/>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333ECC"/>
    <w:rPr>
      <w:rFonts w:ascii="Myriad Pro" w:eastAsiaTheme="majorEastAsia" w:hAnsi="Myriad Pro" w:cstheme="majorBidi"/>
      <w:b/>
      <w:color w:val="000000" w:themeColor="text1"/>
      <w:sz w:val="24"/>
      <w:szCs w:val="24"/>
      <w:lang w:val="en-US"/>
    </w:rPr>
  </w:style>
  <w:style w:type="paragraph" w:customStyle="1" w:styleId="alatunniste0">
    <w:name w:val="alatunniste"/>
    <w:link w:val="alatunnisteChar0"/>
    <w:qFormat/>
    <w:rsid w:val="00964BFC"/>
    <w:pPr>
      <w:spacing w:line="200" w:lineRule="atLeast"/>
      <w:ind w:left="-851"/>
    </w:pPr>
    <w:rPr>
      <w:noProof/>
      <w:sz w:val="18"/>
      <w:lang w:val="en-US"/>
    </w:rPr>
  </w:style>
  <w:style w:type="paragraph" w:customStyle="1" w:styleId="Ylosanteksti">
    <w:name w:val="Yläosan teksti"/>
    <w:link w:val="YlosantekstiChar"/>
    <w:qFormat/>
    <w:rsid w:val="00607057"/>
    <w:rPr>
      <w:lang w:val="en-US"/>
    </w:rPr>
  </w:style>
  <w:style w:type="character" w:customStyle="1" w:styleId="alatunnisteChar0">
    <w:name w:val="alatunniste Char"/>
    <w:basedOn w:val="Kappaleenoletusfontti"/>
    <w:link w:val="alatunniste0"/>
    <w:rsid w:val="00964BFC"/>
    <w:rPr>
      <w:rFonts w:ascii="Myriad Pro" w:hAnsi="Myriad Pro"/>
      <w:noProof/>
      <w:sz w:val="18"/>
      <w:lang w:val="en-US"/>
    </w:rPr>
  </w:style>
  <w:style w:type="character" w:customStyle="1" w:styleId="YlosantekstiChar">
    <w:name w:val="Yläosan teksti Char"/>
    <w:basedOn w:val="alatunnisteChar0"/>
    <w:link w:val="Ylosanteksti"/>
    <w:rsid w:val="00607057"/>
    <w:rPr>
      <w:rFonts w:ascii="Myriad Pro" w:hAnsi="Myriad Pro"/>
      <w:noProof/>
      <w:sz w:val="18"/>
      <w:lang w:val="en-US"/>
    </w:rPr>
  </w:style>
  <w:style w:type="character" w:customStyle="1" w:styleId="Otsikko3Char">
    <w:name w:val="Otsikko 3 Char"/>
    <w:basedOn w:val="Kappaleenoletusfontti"/>
    <w:link w:val="Otsikko3"/>
    <w:rsid w:val="00FA7295"/>
    <w:rPr>
      <w:rFonts w:ascii="Myriad Pro" w:eastAsiaTheme="majorEastAsia" w:hAnsi="Myriad Pro" w:cs="Arial"/>
      <w:i/>
      <w:color w:val="000000" w:themeColor="text1"/>
      <w:sz w:val="22"/>
      <w:szCs w:val="24"/>
      <w:lang w:val="en-US"/>
    </w:rPr>
  </w:style>
  <w:style w:type="paragraph" w:styleId="Eivli">
    <w:name w:val="No Spacing"/>
    <w:basedOn w:val="Normaali"/>
    <w:uiPriority w:val="1"/>
    <w:qFormat/>
    <w:rsid w:val="001B53F6"/>
    <w:pPr>
      <w:spacing w:before="0"/>
    </w:pPr>
    <w:rPr>
      <w:lang w:val="en-US"/>
    </w:r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1B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CBD09-5D75-40F6-9169-1E264ABA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2502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Päivärinta Meri (STM)</dc:creator>
  <cp:keywords/>
  <dc:description/>
  <cp:lastModifiedBy>EXT Vesa Margit</cp:lastModifiedBy>
  <cp:revision>2</cp:revision>
  <dcterms:created xsi:type="dcterms:W3CDTF">2022-07-11T06:57:00Z</dcterms:created>
  <dcterms:modified xsi:type="dcterms:W3CDTF">2022-07-11T06:57:00Z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