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49" w:rsidRDefault="00C36F49" w:rsidP="00C36F49">
      <w:r w:rsidRPr="00C36F49">
        <w:t>Vammaisten henkilöiden oikeuksien neuvottelukunta VANE</w:t>
      </w:r>
    </w:p>
    <w:p w:rsidR="000D79C4" w:rsidRPr="00695F09" w:rsidRDefault="00C36F49" w:rsidP="00333ECC">
      <w:pPr>
        <w:pStyle w:val="Otsikko1"/>
      </w:pPr>
      <w:r w:rsidRPr="00C36F49">
        <w:t>Asiantuntijalausunto</w:t>
      </w:r>
    </w:p>
    <w:p w:rsidR="0021542B" w:rsidRDefault="001C3FED" w:rsidP="0021542B">
      <w:r w:rsidRPr="001C3FED">
        <w:t>Liikenne- ja viestintävaliokunta</w:t>
      </w:r>
    </w:p>
    <w:p w:rsidR="005F5E1D" w:rsidRDefault="00C36F49" w:rsidP="005F5E1D">
      <w:pPr>
        <w:pStyle w:val="Otsikko2"/>
      </w:pPr>
      <w:r w:rsidRPr="00C36F49">
        <w:t xml:space="preserve">Asia: </w:t>
      </w:r>
      <w:r w:rsidR="00BB5F06" w:rsidRPr="00BB5F06">
        <w:t>Hallituksen esitys eduskunnalle laiksi vaihtoehtoisella käyttövoimalla toimivan ajoneuvon hankinnan sekä ajoneuvon vaihtoehtoisella käyttövoimalla toimivaksi muuntamisen määräaikaisesta tukemisesta anne-</w:t>
      </w:r>
      <w:proofErr w:type="spellStart"/>
      <w:r w:rsidR="00BB5F06" w:rsidRPr="00BB5F06">
        <w:t>tun</w:t>
      </w:r>
      <w:proofErr w:type="spellEnd"/>
      <w:r w:rsidR="00BB5F06" w:rsidRPr="00BB5F06">
        <w:t xml:space="preserve"> lain muuttamisesta (HE 171/</w:t>
      </w:r>
      <w:r w:rsidR="00467079">
        <w:t>2022</w:t>
      </w:r>
      <w:r w:rsidR="00BB5F06" w:rsidRPr="00BB5F06">
        <w:t xml:space="preserve"> vp)</w:t>
      </w:r>
    </w:p>
    <w:p w:rsidR="00BB5F06" w:rsidRDefault="00BB5F06" w:rsidP="00BB5F06">
      <w:r>
        <w:t>Vammaisten henkilöiden oikeuksien neuvottelukunta VANE on YK:n vammaisten henkilöiden oikeuksien yleissopimuksen (</w:t>
      </w:r>
      <w:proofErr w:type="spellStart"/>
      <w:r>
        <w:t>SopS</w:t>
      </w:r>
      <w:proofErr w:type="spellEnd"/>
      <w:r>
        <w:t xml:space="preserve"> 27/2016; vammaisyleissopimus) kansallinen koordinaatiomekanismi. Sen tehtävänä on edistää yleissopimuksen kansallista täytäntöönpanoa ja vammaisten henkilöiden oikeuksien huomioon ottamista kaikkien hallinnonalojen toiminnassa. Tässä asiantuntijalausunnossa asiaan otetaan kantaa vammaisyleissopimuksen velvoitteiden näkökulmasta.</w:t>
      </w:r>
    </w:p>
    <w:p w:rsidR="00BB5F06" w:rsidRDefault="00BB5F06" w:rsidP="00BB5F06">
      <w:r>
        <w:t>Vammaisyleissopimus velvoittaa sopimuspuolet toteuttamaan tehokkaat toimet varmistaakseen vammaisille henkilöille mahdollisimman itsenäisen henkilökohtaisen liikkumisen, muun muassa helpottamalla liikkumista sillä tavalla kuin ja silloin kun he haluavat sekä kohtuulliseen hintaan.</w:t>
      </w:r>
    </w:p>
    <w:p w:rsidR="00BB5F06" w:rsidRDefault="00BB5F06" w:rsidP="00BB5F06">
      <w:r>
        <w:t xml:space="preserve">Perus- ja ihmisoikeuksien huomiointi on välttämätön osa kestävän kehityksen toteutumista myös liikenteen kehittämisessä. On tärkeää huomioida sosiaalisesti, taloudellisesti ja ympäristön kannalta kestävien ratkaisujen merkitys eri väestöryhmien kuten vammaisten henkilöiden oikeuksien toteutumiselle. </w:t>
      </w:r>
      <w:proofErr w:type="spellStart"/>
      <w:r>
        <w:t>Marinin</w:t>
      </w:r>
      <w:proofErr w:type="spellEnd"/>
      <w:r>
        <w:t xml:space="preserve"> hallitusohjelman mukaisesti sosiaalisesti kestävä hyvinvointivaltio ottaa huomioon vammaisten osallisuuden sekä mahdollisuudet itsenäiseen elämään.</w:t>
      </w:r>
    </w:p>
    <w:p w:rsidR="00BB5F06" w:rsidRDefault="00BB5F06" w:rsidP="00BB5F06">
      <w:r>
        <w:t>Ehdotuksessa esitetään, että pakettiautojen ja kuorma-autojen hankintatukien hakuajat jatkuisivat 31.12.2024 saakka ja täyssähköautojen hankintatukien ja muuntotuen hakuaika lyhenisi 31.12.2022 saakka.  Käytännössä siis täyssähköautojen hankinta- ja muuntotuki päättyisi.</w:t>
      </w:r>
    </w:p>
    <w:p w:rsidR="00BB5F06" w:rsidRDefault="00BB5F06" w:rsidP="00BB5F06">
      <w:r>
        <w:t>Vammaisille ihmisille oma auto on edelleen useimmiten ainoa itsenäisen liikkumisen väline esteettömän joukkoliikenteen kehittämisestä huolimatta. Vammaiset ihmiset ovat useimmiten hyvin pienituloisia heikon työllisyystilanteensa vuoksi, ja siksi esimerkiksi hybridi- tai täyssähköauton osto on useimmille mahdotonta. Aiemmin vammaisten henkilöiden kohdalla autoveronpalautus oli merkittävä tuki autonhankinnassa. Autoverotuksen muututtua vammaisille myönnettävän autoveronpalautuksen m</w:t>
      </w:r>
      <w:r w:rsidR="0071454A">
        <w:t>erkitys on sittemmin vähentynyt,</w:t>
      </w:r>
      <w:r w:rsidR="00424932">
        <w:t xml:space="preserve"> ja vammaispalvelulain mukainen auton hankintatuki</w:t>
      </w:r>
      <w:r w:rsidR="00A30653">
        <w:t>kin</w:t>
      </w:r>
      <w:r w:rsidR="00424932">
        <w:t xml:space="preserve"> on harkinnanvaraisena </w:t>
      </w:r>
      <w:r w:rsidR="00F60F5E">
        <w:t xml:space="preserve">tukena </w:t>
      </w:r>
      <w:r w:rsidR="00424932">
        <w:t>harvinaista.</w:t>
      </w:r>
    </w:p>
    <w:p w:rsidR="00C36F49" w:rsidRPr="00C36F49" w:rsidRDefault="00BB5F06" w:rsidP="00BB5F06">
      <w:pPr>
        <w:rPr>
          <w:b/>
        </w:rPr>
      </w:pPr>
      <w:r>
        <w:t>VANE ehdottaaki</w:t>
      </w:r>
      <w:r w:rsidR="00424932">
        <w:t xml:space="preserve">n, että tulevaisuudessa </w:t>
      </w:r>
      <w:r>
        <w:t>tulisi kehittää uusi tukimuoto, joka edistäisi vammaisten ihmisten ekologista itsenäistä liikkumista. Näin toimeenpantaisiin YK:n vammaissopimuksen mukainen kohtuuhintaisuus ja mahdollistettaisiin myös vammaisille ihmisille liikkumisesta aiheutuvien päästöjen pienentäminen</w:t>
      </w:r>
      <w:r w:rsidR="00C36F49" w:rsidRPr="00C36F49">
        <w:rPr>
          <w:b/>
        </w:rPr>
        <w:t xml:space="preserve"> </w:t>
      </w:r>
    </w:p>
    <w:p w:rsidR="00C36F49" w:rsidRDefault="00C36F49" w:rsidP="00C36F49"/>
    <w:p w:rsidR="00C36F49" w:rsidRDefault="00C36F49" w:rsidP="00C36F49">
      <w:r>
        <w:t>Vammaisten henkilöiden oikeuksien neuvottelukunta</w:t>
      </w:r>
    </w:p>
    <w:p w:rsidR="00C36F49" w:rsidRDefault="00BB5F06" w:rsidP="00C36F49">
      <w:bookmarkStart w:id="0" w:name="_GoBack"/>
      <w:bookmarkEnd w:id="0"/>
      <w:r>
        <w:t>neuvotteleva virkamies/pääsihteeri Merja Heikkonen</w:t>
      </w:r>
    </w:p>
    <w:p w:rsidR="00424932" w:rsidRPr="00C36F49" w:rsidRDefault="00424932" w:rsidP="00C36F49"/>
    <w:sectPr w:rsidR="00424932" w:rsidRPr="00C36F49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B" w:rsidRDefault="007C296B" w:rsidP="00964BFC">
      <w:r>
        <w:separator/>
      </w:r>
    </w:p>
    <w:p w:rsidR="007C296B" w:rsidRDefault="007C296B" w:rsidP="00964BFC"/>
    <w:p w:rsidR="007C296B" w:rsidRDefault="007C296B" w:rsidP="00964BFC"/>
  </w:endnote>
  <w:endnote w:type="continuationSeparator" w:id="0">
    <w:p w:rsidR="007C296B" w:rsidRDefault="007C296B" w:rsidP="00964BFC">
      <w:r>
        <w:continuationSeparator/>
      </w:r>
    </w:p>
    <w:p w:rsidR="007C296B" w:rsidRDefault="007C296B" w:rsidP="00964BFC"/>
    <w:p w:rsidR="007C296B" w:rsidRDefault="007C296B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C36F49" w:rsidP="0021542B">
    <w:pPr>
      <w:pStyle w:val="alatunniste0"/>
      <w:ind w:left="-993"/>
      <w:rPr>
        <w:rStyle w:val="alatunnisteChar0"/>
        <w:spacing w:val="8"/>
        <w:lang w:val="fi-FI"/>
      </w:rPr>
    </w:pPr>
    <w:r>
      <w:rPr>
        <w:lang w:val="fi-FI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-203835</wp:posOffset>
          </wp:positionH>
          <wp:positionV relativeFrom="page">
            <wp:posOffset>9756140</wp:posOffset>
          </wp:positionV>
          <wp:extent cx="7774305" cy="941705"/>
          <wp:effectExtent l="0" t="0" r="0" b="0"/>
          <wp:wrapNone/>
          <wp:docPr id="2" name="Kuva 2" descr="suo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om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7C296B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216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B" w:rsidRDefault="007C296B" w:rsidP="00964BFC">
      <w:r>
        <w:separator/>
      </w:r>
    </w:p>
    <w:p w:rsidR="007C296B" w:rsidRDefault="007C296B" w:rsidP="00964BFC"/>
    <w:p w:rsidR="007C296B" w:rsidRDefault="007C296B" w:rsidP="00964BFC"/>
  </w:footnote>
  <w:footnote w:type="continuationSeparator" w:id="0">
    <w:p w:rsidR="007C296B" w:rsidRDefault="007C296B" w:rsidP="00964BFC">
      <w:r>
        <w:continuationSeparator/>
      </w:r>
    </w:p>
    <w:p w:rsidR="007C296B" w:rsidRDefault="007C296B" w:rsidP="00964BFC"/>
    <w:p w:rsidR="007C296B" w:rsidRDefault="007C296B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57216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71454A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71454A">
            <w:rPr>
              <w:noProof/>
            </w:rPr>
            <w:t>2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BB5F06" w:rsidRDefault="00BB5F06" w:rsidP="00693409">
          <w:pPr>
            <w:pStyle w:val="Ylosanteksti"/>
            <w:rPr>
              <w:sz w:val="18"/>
              <w:szCs w:val="18"/>
              <w:lang w:val="fi-FI"/>
            </w:rPr>
          </w:pPr>
          <w:r w:rsidRPr="00BB5F06">
            <w:rPr>
              <w:sz w:val="18"/>
              <w:szCs w:val="18"/>
              <w:lang w:val="fi-FI"/>
            </w:rPr>
            <w:t>7.</w:t>
          </w:r>
          <w:r>
            <w:rPr>
              <w:sz w:val="18"/>
              <w:szCs w:val="18"/>
              <w:lang w:val="fi-FI"/>
            </w:rPr>
            <w:t>10</w:t>
          </w:r>
          <w:r w:rsidR="00C36F49" w:rsidRPr="00BB5F06">
            <w:rPr>
              <w:sz w:val="18"/>
              <w:szCs w:val="18"/>
              <w:lang w:val="fi-FI"/>
            </w:rPr>
            <w:t>.2022</w:t>
          </w:r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BB5F06" w:rsidRDefault="00693409" w:rsidP="00964BFC">
          <w:pPr>
            <w:pStyle w:val="Ylosanteksti"/>
            <w:jc w:val="right"/>
            <w:rPr>
              <w:rStyle w:val="Sivunumero"/>
              <w:lang w:val="fi-FI"/>
            </w:rPr>
          </w:pPr>
          <w:r w:rsidRPr="00693409">
            <w:rPr>
              <w:rStyle w:val="Sivunumero"/>
            </w:rPr>
            <w:fldChar w:fldCharType="begin"/>
          </w:r>
          <w:r w:rsidRPr="00BB5F06">
            <w:rPr>
              <w:rStyle w:val="Sivunumero"/>
              <w:lang w:val="fi-FI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71454A">
            <w:rPr>
              <w:rStyle w:val="Sivunumero"/>
              <w:noProof/>
              <w:lang w:val="fi-FI"/>
            </w:rPr>
            <w:t>1</w:t>
          </w:r>
          <w:r w:rsidRPr="00693409">
            <w:rPr>
              <w:rStyle w:val="Sivunumero"/>
            </w:rPr>
            <w:fldChar w:fldCharType="end"/>
          </w:r>
          <w:r w:rsidRPr="00BB5F06">
            <w:rPr>
              <w:rStyle w:val="Sivunumero"/>
              <w:lang w:val="fi-FI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BB5F06">
            <w:rPr>
              <w:rStyle w:val="Sivunumero"/>
              <w:lang w:val="fi-FI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71454A">
            <w:rPr>
              <w:rStyle w:val="Sivunumero"/>
              <w:noProof/>
              <w:lang w:val="fi-FI"/>
            </w:rPr>
            <w:t>2</w:t>
          </w:r>
          <w:r w:rsidRPr="00693409">
            <w:rPr>
              <w:rStyle w:val="Sivunumero"/>
            </w:rPr>
            <w:fldChar w:fldCharType="end"/>
          </w:r>
          <w:r w:rsidRPr="00BB5F06">
            <w:rPr>
              <w:rStyle w:val="Sivunumero"/>
              <w:lang w:val="fi-FI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BB5F06" w:rsidRDefault="00693409" w:rsidP="00964BFC">
          <w:pPr>
            <w:pStyle w:val="Ylosanteksti"/>
            <w:rPr>
              <w:rStyle w:val="Sivunumero"/>
              <w:sz w:val="18"/>
              <w:szCs w:val="18"/>
              <w:lang w:val="fi-FI"/>
            </w:rPr>
          </w:pPr>
        </w:p>
      </w:tc>
      <w:tc>
        <w:tcPr>
          <w:tcW w:w="1399" w:type="dxa"/>
        </w:tcPr>
        <w:p w:rsidR="00693409" w:rsidRPr="00BB5F06" w:rsidRDefault="00693409" w:rsidP="00964BFC">
          <w:pPr>
            <w:pStyle w:val="Ylosanteksti"/>
            <w:rPr>
              <w:rStyle w:val="Sivunumero"/>
              <w:lang w:val="fi-FI"/>
            </w:rPr>
          </w:pPr>
        </w:p>
      </w:tc>
      <w:tc>
        <w:tcPr>
          <w:tcW w:w="1008" w:type="dxa"/>
        </w:tcPr>
        <w:p w:rsidR="00693409" w:rsidRPr="00BB5F06" w:rsidRDefault="00693409" w:rsidP="00964BFC">
          <w:pPr>
            <w:pStyle w:val="Ylosanteksti"/>
            <w:rPr>
              <w:rStyle w:val="Sivunumero"/>
              <w:lang w:val="fi-FI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BB5F06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  <w:lang w:val="fi-FI"/>
            </w:rPr>
          </w:pPr>
        </w:p>
      </w:tc>
      <w:tc>
        <w:tcPr>
          <w:tcW w:w="2407" w:type="dxa"/>
          <w:gridSpan w:val="2"/>
        </w:tcPr>
        <w:p w:rsidR="00693409" w:rsidRPr="00BB5F06" w:rsidRDefault="00693409" w:rsidP="00964BFC">
          <w:pPr>
            <w:pStyle w:val="Ylosanteksti"/>
            <w:rPr>
              <w:rStyle w:val="Sivunumero"/>
              <w:lang w:val="fi-FI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B5F20"/>
    <w:rsid w:val="000D79C4"/>
    <w:rsid w:val="000F2157"/>
    <w:rsid w:val="00140EF8"/>
    <w:rsid w:val="00146B2A"/>
    <w:rsid w:val="00153384"/>
    <w:rsid w:val="001B53F6"/>
    <w:rsid w:val="001C3FED"/>
    <w:rsid w:val="0021542B"/>
    <w:rsid w:val="00262313"/>
    <w:rsid w:val="0027582D"/>
    <w:rsid w:val="002F52C2"/>
    <w:rsid w:val="003241A6"/>
    <w:rsid w:val="00333D17"/>
    <w:rsid w:val="00333ECC"/>
    <w:rsid w:val="003343C1"/>
    <w:rsid w:val="00353EF4"/>
    <w:rsid w:val="00357C93"/>
    <w:rsid w:val="0037735F"/>
    <w:rsid w:val="003C01B5"/>
    <w:rsid w:val="003F269A"/>
    <w:rsid w:val="003F7B63"/>
    <w:rsid w:val="00404032"/>
    <w:rsid w:val="00424932"/>
    <w:rsid w:val="00447512"/>
    <w:rsid w:val="00451CEA"/>
    <w:rsid w:val="00467079"/>
    <w:rsid w:val="00473EE0"/>
    <w:rsid w:val="004776D5"/>
    <w:rsid w:val="004C2F28"/>
    <w:rsid w:val="00537B74"/>
    <w:rsid w:val="00556314"/>
    <w:rsid w:val="00584043"/>
    <w:rsid w:val="005A5A4A"/>
    <w:rsid w:val="005B297E"/>
    <w:rsid w:val="005B43B2"/>
    <w:rsid w:val="005F1333"/>
    <w:rsid w:val="005F1C27"/>
    <w:rsid w:val="005F2CDD"/>
    <w:rsid w:val="005F5E1D"/>
    <w:rsid w:val="00607057"/>
    <w:rsid w:val="00693409"/>
    <w:rsid w:val="00695F09"/>
    <w:rsid w:val="006B7082"/>
    <w:rsid w:val="00705D07"/>
    <w:rsid w:val="00710B79"/>
    <w:rsid w:val="0071454A"/>
    <w:rsid w:val="007146C2"/>
    <w:rsid w:val="007644E7"/>
    <w:rsid w:val="0077386C"/>
    <w:rsid w:val="007C296B"/>
    <w:rsid w:val="007D053C"/>
    <w:rsid w:val="007D631B"/>
    <w:rsid w:val="008423BA"/>
    <w:rsid w:val="008640D7"/>
    <w:rsid w:val="00881FE7"/>
    <w:rsid w:val="00886936"/>
    <w:rsid w:val="008D2F02"/>
    <w:rsid w:val="008E6496"/>
    <w:rsid w:val="008F3A17"/>
    <w:rsid w:val="009407C5"/>
    <w:rsid w:val="009472DE"/>
    <w:rsid w:val="00964BFC"/>
    <w:rsid w:val="00980A82"/>
    <w:rsid w:val="009840D5"/>
    <w:rsid w:val="00985BFD"/>
    <w:rsid w:val="009A752F"/>
    <w:rsid w:val="009C566F"/>
    <w:rsid w:val="00A00B76"/>
    <w:rsid w:val="00A30653"/>
    <w:rsid w:val="00A85860"/>
    <w:rsid w:val="00AB1C8F"/>
    <w:rsid w:val="00AC6300"/>
    <w:rsid w:val="00AE0F66"/>
    <w:rsid w:val="00AE3432"/>
    <w:rsid w:val="00AF01F5"/>
    <w:rsid w:val="00B23D76"/>
    <w:rsid w:val="00B73116"/>
    <w:rsid w:val="00BB5F06"/>
    <w:rsid w:val="00BC5827"/>
    <w:rsid w:val="00BD460E"/>
    <w:rsid w:val="00BE4D11"/>
    <w:rsid w:val="00BF6A37"/>
    <w:rsid w:val="00C0067E"/>
    <w:rsid w:val="00C00926"/>
    <w:rsid w:val="00C27A86"/>
    <w:rsid w:val="00C36F49"/>
    <w:rsid w:val="00CF7A25"/>
    <w:rsid w:val="00D22A93"/>
    <w:rsid w:val="00D32FC1"/>
    <w:rsid w:val="00D34286"/>
    <w:rsid w:val="00D3744B"/>
    <w:rsid w:val="00D72423"/>
    <w:rsid w:val="00D96D90"/>
    <w:rsid w:val="00DB0B75"/>
    <w:rsid w:val="00DB1540"/>
    <w:rsid w:val="00DD648E"/>
    <w:rsid w:val="00DE336C"/>
    <w:rsid w:val="00DF29AA"/>
    <w:rsid w:val="00E067F2"/>
    <w:rsid w:val="00E16C3D"/>
    <w:rsid w:val="00E40C68"/>
    <w:rsid w:val="00E433C7"/>
    <w:rsid w:val="00E6398E"/>
    <w:rsid w:val="00E76859"/>
    <w:rsid w:val="00E8441D"/>
    <w:rsid w:val="00E914BD"/>
    <w:rsid w:val="00EA0C82"/>
    <w:rsid w:val="00EC54F4"/>
    <w:rsid w:val="00EE41F5"/>
    <w:rsid w:val="00F60F5E"/>
    <w:rsid w:val="00F94A0D"/>
    <w:rsid w:val="00FA7295"/>
    <w:rsid w:val="00FD5426"/>
    <w:rsid w:val="00FD5619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2E2CE6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BC27-087B-4C0C-AD75-21C7E43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Päivärinta Meri (STM)</dc:creator>
  <cp:keywords/>
  <dc:description/>
  <cp:lastModifiedBy>Heikkonen Merja (STM)</cp:lastModifiedBy>
  <cp:revision>10</cp:revision>
  <cp:lastPrinted>2022-10-05T08:25:00Z</cp:lastPrinted>
  <dcterms:created xsi:type="dcterms:W3CDTF">2022-10-04T09:49:00Z</dcterms:created>
  <dcterms:modified xsi:type="dcterms:W3CDTF">2022-10-05T12:41:00Z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