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87" w:rsidRPr="000057B9" w:rsidRDefault="00C53923" w:rsidP="000057B9">
      <w:pPr>
        <w:pStyle w:val="Otsikko1"/>
        <w:rPr>
          <w:sz w:val="24"/>
          <w:szCs w:val="24"/>
          <w:lang w:val="fi-FI"/>
        </w:rPr>
      </w:pPr>
      <w:r w:rsidRPr="00271E49">
        <w:rPr>
          <w:color w:val="auto"/>
          <w:sz w:val="24"/>
          <w:szCs w:val="24"/>
          <w:lang w:val="fi-FI"/>
        </w:rPr>
        <w:t>L</w:t>
      </w:r>
      <w:r w:rsidR="009B3F61" w:rsidRPr="00271E49">
        <w:rPr>
          <w:color w:val="auto"/>
          <w:sz w:val="24"/>
          <w:szCs w:val="24"/>
          <w:lang w:val="fi-FI"/>
        </w:rPr>
        <w:t>ausunto</w:t>
      </w:r>
      <w:r w:rsidR="008B517E" w:rsidRPr="00271E49">
        <w:rPr>
          <w:sz w:val="24"/>
          <w:szCs w:val="24"/>
          <w:lang w:val="fi-FI"/>
        </w:rPr>
        <w:t xml:space="preserve"> </w:t>
      </w:r>
    </w:p>
    <w:p w:rsidR="0093275D" w:rsidRDefault="00A24937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 xml:space="preserve">Asia: </w:t>
      </w:r>
      <w:r w:rsidR="0093275D" w:rsidRPr="0093275D">
        <w:rPr>
          <w:color w:val="auto"/>
          <w:szCs w:val="22"/>
          <w:lang w:val="fi-FI"/>
        </w:rPr>
        <w:t>Lausuntopyyntö luonnoksesta hallituksen esitykseksi eduskunnalle laiksi sosiaalihuoltolain ja ikääntyneen väestön toimintakyvyn tukemisesta sekä iä</w:t>
      </w:r>
      <w:r w:rsidR="0093275D">
        <w:rPr>
          <w:color w:val="auto"/>
          <w:szCs w:val="22"/>
          <w:lang w:val="fi-FI"/>
        </w:rPr>
        <w:t>kkäiden sosiaali- ja terveyspal</w:t>
      </w:r>
      <w:r w:rsidR="0093275D" w:rsidRPr="0093275D">
        <w:rPr>
          <w:color w:val="auto"/>
          <w:szCs w:val="22"/>
          <w:lang w:val="fi-FI"/>
        </w:rPr>
        <w:t>veluista annetun lain sekä eräiden niihin liittyvien lakien muuttamisesta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 xml:space="preserve">Viite: </w:t>
      </w:r>
      <w:r w:rsidR="0093275D" w:rsidRPr="0093275D">
        <w:rPr>
          <w:color w:val="auto"/>
          <w:szCs w:val="22"/>
          <w:lang w:val="fi-FI"/>
        </w:rPr>
        <w:t>VN/13519/2021</w:t>
      </w:r>
    </w:p>
    <w:p w:rsidR="000057B9" w:rsidRDefault="000057B9" w:rsidP="00CB2687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Lausuntopyynnössä esitetyt kysymykset:</w:t>
      </w:r>
    </w:p>
    <w:p w:rsidR="00CB2687" w:rsidRPr="000057B9" w:rsidRDefault="0093275D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Lausunnonantajan organisaatio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93275D">
        <w:rPr>
          <w:color w:val="auto"/>
          <w:szCs w:val="22"/>
          <w:lang w:val="fi-FI"/>
        </w:rPr>
        <w:t>Valtion viranomainen</w:t>
      </w:r>
    </w:p>
    <w:p w:rsidR="0093275D" w:rsidRDefault="0093275D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Ovatko kotiin annettavia palveluja koskevat säännökset (19 §, 19 a § ja 19 b §) mielestänne onnistuneita? Jos eivät, miten muuttaisitte niitä?</w:t>
      </w:r>
      <w:r w:rsidR="000057B9">
        <w:rPr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>´</w:t>
      </w:r>
    </w:p>
    <w:p w:rsidR="000057B9" w:rsidRDefault="0093275D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0057B9" w:rsidRPr="000057B9">
        <w:rPr>
          <w:color w:val="auto"/>
          <w:szCs w:val="22"/>
          <w:lang w:val="fi-FI"/>
        </w:rPr>
        <w:t>Ei.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VANE tarkastelee pykäliä erityisesti vammaisten ihmisten ja heidän oikeuksiensa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näkökulmasta. Kotihoitoa ja tukipalveluja annetaan myös vammaisuuden perusteella. VANE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pitää pykäliä pääsääntöisesti onnistuneina ja esimerkiksi yksilöllisten tarpeiden mukaisuus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palveluissa on nostettu hyvin esiin. Ongelmallisena VANE näkee kuitenkin edelleen suhteen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vammaispalveluihin. Erityisesti tukipalvelujen osalta sisällöt, kuten osallisuus tai asiointi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vastaavat vammaispalvelujen henkilökohtaisen avun kautta järjestettäviä palvelusisältöjä,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vaikka asiakkaan rooli näissä onkin luonteeltaan erilainen. Vammaispalvelut ovat toissijaisia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sosiaalihuoltolain mukaisiin palveluihin nähden. Vammaispalvelut ovat myös maksuttomia,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kun taas kotihoidosta tai tukipalveluista peritään asiakasmaksulain mukaiset maksut. Voidaan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olettaa, että palveluja myönnetäänkin mieluummin tukipalveluna kuin vammaispalveluna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sil</w:t>
      </w:r>
      <w:r>
        <w:rPr>
          <w:color w:val="auto"/>
          <w:szCs w:val="22"/>
          <w:lang w:val="fi-FI"/>
        </w:rPr>
        <w:t xml:space="preserve">loinkin, kun vammaisen ihmisen </w:t>
      </w:r>
      <w:r w:rsidRPr="0093275D">
        <w:rPr>
          <w:color w:val="auto"/>
          <w:szCs w:val="22"/>
          <w:lang w:val="fi-FI"/>
        </w:rPr>
        <w:t xml:space="preserve">etu, oma mielipide ja tarpeet puoltaisivat vammaispalvelua.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Erityisen tulkinnanvaraisia ovat tilanteet, joissa asiakas on </w:t>
      </w:r>
      <w:r w:rsidRPr="0093275D">
        <w:rPr>
          <w:color w:val="auto"/>
          <w:szCs w:val="22"/>
          <w:lang w:val="fi-FI"/>
        </w:rPr>
        <w:t>ikääntynyt</w:t>
      </w:r>
      <w:r w:rsidRPr="0093275D">
        <w:rPr>
          <w:color w:val="auto"/>
          <w:szCs w:val="22"/>
          <w:lang w:val="fi-FI"/>
        </w:rPr>
        <w:t xml:space="preserve"> vammainen henkilö. </w:t>
      </w:r>
    </w:p>
    <w:p w:rsidR="0093275D" w:rsidRP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VANE katsookin, että perusteluissa olisi hyvä avata lakien keskinäistä suhdetta. YK:n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vammaisyleissopimuksen 19 artikla käsittelee itsenäistä elämää ja sopimus edellyttää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sopimusvaltioilta tehokkaita toimia vammaisten ihmisten itsenäisen elämän helpottamiseksi.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Selkeä lainsäädäntö on yksi helpottamisen keino, sillä voidaan edistää oikea-aikaisten ja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nimenomaan tarpeen mukaisten, yksilöllisten palvelujen saantia.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VANE pitää kannatettavana lapsiperheiden huomioimista omassa pykälässään.</w:t>
      </w:r>
    </w:p>
    <w:p w:rsidR="0093275D" w:rsidRDefault="0093275D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Kotihoitoa ehdotetaan järjestettäväksi vuorokaudenajasta riippumatta (19 §:n 3 mom.). Onko tämä mielestänne kannatettava ratkaisu?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93275D">
        <w:rPr>
          <w:color w:val="auto"/>
          <w:szCs w:val="22"/>
          <w:lang w:val="fi-FI"/>
        </w:rPr>
        <w:t>Kyllä.</w:t>
      </w:r>
    </w:p>
    <w:p w:rsidR="0093275D" w:rsidRDefault="0093275D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Ovatko ns. tavallista palveluasumista koskevat säännökset (21 b §) mielestänne onnistuneita? Jos eivät, miten muuttaisitte niitä?</w:t>
      </w:r>
    </w:p>
    <w:p w:rsidR="000057B9" w:rsidRDefault="000057B9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93275D">
        <w:rPr>
          <w:color w:val="auto"/>
          <w:szCs w:val="22"/>
          <w:lang w:val="fi-FI"/>
        </w:rPr>
        <w:t xml:space="preserve">Ei. </w:t>
      </w:r>
    </w:p>
    <w:p w:rsidR="0093275D" w:rsidRDefault="0093275D" w:rsidP="000057B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lastRenderedPageBreak/>
        <w:tab/>
      </w:r>
      <w:r w:rsidRPr="0093275D">
        <w:rPr>
          <w:color w:val="auto"/>
          <w:szCs w:val="22"/>
          <w:lang w:val="fi-FI"/>
        </w:rPr>
        <w:t xml:space="preserve">VANE pitää kannatettavana, että erilaiset asumisen muodot on eroteltu omiin pykäliinsä ja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perusteluissa tuodaan hyvin esiin asumisen vaihtoehtojen eroja. Perusteluissa on myös viitattu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omaishoidon mahdollisuuteen palveluasumisessa. VANE pitää tätä kannatettavana, mutta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toivoisi myös avausta suhteessa vammaispalveluihin (palveluasuminen/henkilökohtainen apu).</w:t>
      </w:r>
    </w:p>
    <w:p w:rsidR="0093275D" w:rsidRDefault="0093275D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Onko tavallista palveluasumista koskeva pykälä tarpeeksi selkeästi muotoiltu? Jos ei, miten sitä voisi muuttaa?</w:t>
      </w:r>
    </w:p>
    <w:p w:rsidR="0093275D" w:rsidRPr="0093275D" w:rsidRDefault="000057B9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="0093275D" w:rsidRPr="0093275D">
        <w:rPr>
          <w:color w:val="auto"/>
          <w:szCs w:val="22"/>
          <w:lang w:val="fi-FI"/>
        </w:rPr>
        <w:t xml:space="preserve">Pykälän 1 </w:t>
      </w:r>
      <w:proofErr w:type="spellStart"/>
      <w:r w:rsidR="0093275D" w:rsidRPr="0093275D">
        <w:rPr>
          <w:color w:val="auto"/>
          <w:szCs w:val="22"/>
          <w:lang w:val="fi-FI"/>
        </w:rPr>
        <w:t>momentissta</w:t>
      </w:r>
      <w:proofErr w:type="spellEnd"/>
      <w:r w:rsidR="0093275D" w:rsidRPr="0093275D">
        <w:rPr>
          <w:color w:val="auto"/>
          <w:szCs w:val="22"/>
          <w:lang w:val="fi-FI"/>
        </w:rPr>
        <w:t xml:space="preserve"> voi saada käsityksen, että asuminen tapahtuu </w:t>
      </w:r>
      <w:proofErr w:type="gramStart"/>
      <w:r w:rsidR="0093275D" w:rsidRPr="0093275D">
        <w:rPr>
          <w:color w:val="auto"/>
          <w:szCs w:val="22"/>
          <w:lang w:val="fi-FI"/>
        </w:rPr>
        <w:t>ensisijassa</w:t>
      </w:r>
      <w:proofErr w:type="gramEnd"/>
      <w:r w:rsidR="0093275D" w:rsidRPr="0093275D">
        <w:rPr>
          <w:color w:val="auto"/>
          <w:szCs w:val="22"/>
          <w:lang w:val="fi-FI"/>
        </w:rPr>
        <w:t xml:space="preserve"> </w:t>
      </w:r>
      <w:r w:rsidR="0093275D">
        <w:rPr>
          <w:color w:val="auto"/>
          <w:szCs w:val="22"/>
          <w:lang w:val="fi-FI"/>
        </w:rPr>
        <w:tab/>
      </w:r>
      <w:r w:rsidR="0093275D" w:rsidRPr="0093275D">
        <w:rPr>
          <w:color w:val="auto"/>
          <w:szCs w:val="22"/>
          <w:lang w:val="fi-FI"/>
        </w:rPr>
        <w:t xml:space="preserve">”ympäristössä”, vaikka asunto on kuitenkin se missä asutaan ja se puolestaan sijaitsee jossain </w:t>
      </w:r>
      <w:r w:rsidR="0093275D">
        <w:rPr>
          <w:color w:val="auto"/>
          <w:szCs w:val="22"/>
          <w:lang w:val="fi-FI"/>
        </w:rPr>
        <w:tab/>
      </w:r>
      <w:r w:rsidR="0093275D" w:rsidRPr="0093275D">
        <w:rPr>
          <w:color w:val="auto"/>
          <w:szCs w:val="22"/>
          <w:lang w:val="fi-FI"/>
        </w:rPr>
        <w:t xml:space="preserve">ympäristössä, jossa voi olla yhteisöllisiä tiloja. Voisiko momentin tekstin kääntää esim. </w:t>
      </w:r>
      <w:r w:rsidR="0093275D">
        <w:rPr>
          <w:color w:val="auto"/>
          <w:szCs w:val="22"/>
          <w:lang w:val="fi-FI"/>
        </w:rPr>
        <w:tab/>
      </w:r>
      <w:r w:rsidR="0093275D" w:rsidRPr="0093275D">
        <w:rPr>
          <w:color w:val="auto"/>
          <w:szCs w:val="22"/>
          <w:lang w:val="fi-FI"/>
        </w:rPr>
        <w:t xml:space="preserve">muotoon palveluasumisella tarkoitetaan asumista henkilön hallinnoimassa ja hänen tarpeitaan </w:t>
      </w:r>
      <w:r w:rsidR="0093275D">
        <w:rPr>
          <w:color w:val="auto"/>
          <w:szCs w:val="22"/>
          <w:lang w:val="fi-FI"/>
        </w:rPr>
        <w:tab/>
      </w:r>
      <w:r w:rsidR="0093275D" w:rsidRPr="0093275D">
        <w:rPr>
          <w:color w:val="auto"/>
          <w:szCs w:val="22"/>
          <w:lang w:val="fi-FI"/>
        </w:rPr>
        <w:t>vastaavassa asunnossa, joka sijaitsee yhteisöl</w:t>
      </w:r>
      <w:r w:rsidR="0093275D">
        <w:rPr>
          <w:color w:val="auto"/>
          <w:szCs w:val="22"/>
          <w:lang w:val="fi-FI"/>
        </w:rPr>
        <w:t xml:space="preserve">liseen toimintaan soveltuvassa, </w:t>
      </w:r>
      <w:r w:rsidR="0093275D" w:rsidRPr="0093275D">
        <w:rPr>
          <w:color w:val="auto"/>
          <w:szCs w:val="22"/>
          <w:lang w:val="fi-FI"/>
        </w:rPr>
        <w:t xml:space="preserve">esteettömässä ja </w:t>
      </w:r>
      <w:r w:rsidR="0093275D">
        <w:rPr>
          <w:color w:val="auto"/>
          <w:szCs w:val="22"/>
          <w:lang w:val="fi-FI"/>
        </w:rPr>
        <w:tab/>
      </w:r>
      <w:r w:rsidR="0093275D" w:rsidRPr="0093275D">
        <w:rPr>
          <w:color w:val="auto"/>
          <w:szCs w:val="22"/>
          <w:lang w:val="fi-FI"/>
        </w:rPr>
        <w:t>turvallisessa ympäristössä. Näin ihmisen ”koti” korostuisi enemmän suhteessa rakenteisiin.</w:t>
      </w:r>
    </w:p>
    <w:p w:rsidR="000057B9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2 momentin ehdotus erottaa pykälätasolla asuntoja palvelut, on kannatettava.</w:t>
      </w:r>
    </w:p>
    <w:p w:rsidR="0093275D" w:rsidRDefault="0093275D" w:rsidP="000057B9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Ovatko hoiva-asumista koskevat säännökset (21 c §) mielestänne onnistuneita? Jos eivät, miten muuttaisitte niitä?</w:t>
      </w:r>
    </w:p>
    <w:p w:rsidR="0093275D" w:rsidRPr="0093275D" w:rsidRDefault="000057B9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="0093275D" w:rsidRPr="0093275D">
        <w:rPr>
          <w:color w:val="auto"/>
          <w:szCs w:val="22"/>
          <w:lang w:val="fi-FI"/>
        </w:rPr>
        <w:t>Ei</w:t>
      </w:r>
      <w:r w:rsidR="0093275D">
        <w:rPr>
          <w:color w:val="auto"/>
          <w:szCs w:val="22"/>
          <w:lang w:val="fi-FI"/>
        </w:rPr>
        <w:t>.</w:t>
      </w:r>
    </w:p>
    <w:p w:rsidR="00415578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Myös tässä määrittelyssä korostuu enemmän yksikkö kuin itse asunto/”koti”, kun määrittely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lähtee ”yksiköstä”. Voisiko tässäkin harkita rakenteen kääntämistä esim.: Hoiva-asumisella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tarkoitetaan asumista henkilön tarpeita vastaavassa asunnossa, joka sijaitsee yhteisöllistä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toimintaa tarjoavassa esteettömässä ja turvallisessa hoivakodissa tai vastaavassa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asumisyksikössä, ja jossa hän saa asumisyksikön henkilöstöltä viipymättä ja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vuorokaudenajasta riippumatta hoitoa ja huolenpitoa myös äkilliseen tarpeeseensa.  </w:t>
      </w:r>
      <w:r w:rsidR="00FB7930">
        <w:rPr>
          <w:color w:val="auto"/>
          <w:szCs w:val="22"/>
          <w:lang w:val="fi-FI"/>
        </w:rPr>
        <w:tab/>
      </w:r>
    </w:p>
    <w:p w:rsidR="00DD3D50" w:rsidRDefault="0093275D" w:rsidP="00FC57A3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Löytyisikö tehostettu palveluasuminen –termin korvaajaksi jokin parempi ehdotus kuin hoiva-asuminen? Mikä?</w:t>
      </w:r>
    </w:p>
    <w:p w:rsidR="0093275D" w:rsidRDefault="0093275D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Hoiva-asuminen on parempi ja kuvaavampi käsite kuin tehostettu asuminen.</w:t>
      </w:r>
    </w:p>
    <w:p w:rsidR="0093275D" w:rsidRDefault="0093275D" w:rsidP="00FC57A3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Ovatko ehdotetun hoiva-asumispykälän palvelun saantikriteerit tarkoituksenmukaisia ja tarpeeksi selkeitä? Jos eivät, miten muuttaisitte niitä?</w:t>
      </w:r>
    </w:p>
    <w:p w:rsidR="0093275D" w:rsidRDefault="0093275D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>Kyllä.</w:t>
      </w:r>
    </w:p>
    <w:p w:rsidR="0093275D" w:rsidRDefault="0093275D" w:rsidP="00FC57A3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Ovatko turvapalvelun toteuttamista koskevat säännökset (46 a §) mielestänne onnistuneita? Jos eivät, miten muuttaisitte niitä?</w:t>
      </w:r>
    </w:p>
    <w:p w:rsidR="0093275D" w:rsidRDefault="0093275D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>Kyllä.</w:t>
      </w:r>
    </w:p>
    <w:p w:rsidR="0093275D" w:rsidRDefault="0093275D" w:rsidP="00FC57A3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color w:val="auto"/>
          <w:szCs w:val="22"/>
          <w:lang w:val="fi-FI"/>
        </w:rPr>
        <w:t>Pi</w:t>
      </w:r>
      <w:r w:rsidRPr="0093275D">
        <w:rPr>
          <w:i/>
          <w:color w:val="auto"/>
          <w:szCs w:val="22"/>
          <w:lang w:val="fi-FI"/>
        </w:rPr>
        <w:t xml:space="preserve">tääkö turva-auttajan olla </w:t>
      </w:r>
      <w:proofErr w:type="spellStart"/>
      <w:r w:rsidRPr="0093275D">
        <w:rPr>
          <w:i/>
          <w:color w:val="auto"/>
          <w:szCs w:val="22"/>
          <w:lang w:val="fi-FI"/>
        </w:rPr>
        <w:t>sote</w:t>
      </w:r>
      <w:proofErr w:type="spellEnd"/>
      <w:r w:rsidRPr="0093275D">
        <w:rPr>
          <w:i/>
          <w:color w:val="auto"/>
          <w:szCs w:val="22"/>
          <w:lang w:val="fi-FI"/>
        </w:rPr>
        <w:t>-ammattihenkilö, vai riittääkö että hän on koulutuksensa ja kokemuksen perusteella sopiva, kuten lakiesityksessä ehdotetaan (46 a §)?</w:t>
      </w:r>
    </w:p>
    <w:p w:rsidR="0093275D" w:rsidRDefault="0093275D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>Kyllä.</w:t>
      </w:r>
    </w:p>
    <w:p w:rsid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Ovatko kotihoidon henkilöstön riittävyyden turvaamista koskevat säännökset (46 b § ja 49 b §) mielestänne onnistuneita? Jos eivät, miten muuttaisitte niitä?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lastRenderedPageBreak/>
        <w:tab/>
      </w:r>
      <w:r>
        <w:rPr>
          <w:color w:val="auto"/>
          <w:szCs w:val="22"/>
          <w:lang w:val="fi-FI"/>
        </w:rPr>
        <w:t>Kyllä.</w:t>
      </w:r>
    </w:p>
    <w:p w:rsidR="0093275D" w:rsidRP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Ovatko ns. hybridiasumista koskevat säännökset (46 c §) mielestänne onnistuneita? Jos eivät, miten muuttaisitte niitä?</w:t>
      </w:r>
    </w:p>
    <w:p w:rsidR="0093275D" w:rsidRP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Ei</w:t>
      </w:r>
      <w:r>
        <w:rPr>
          <w:color w:val="auto"/>
          <w:szCs w:val="22"/>
          <w:lang w:val="fi-FI"/>
        </w:rPr>
        <w:t>.</w:t>
      </w:r>
    </w:p>
    <w:p w:rsidR="0093275D" w:rsidRP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Pykälä ja perustelut kaipaavat vielä täsmennystä. Ehdotuksessa todetaan mm.: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”Monimuotoisten </w:t>
      </w:r>
      <w:proofErr w:type="spellStart"/>
      <w:r w:rsidRPr="0093275D">
        <w:rPr>
          <w:color w:val="auto"/>
          <w:szCs w:val="22"/>
          <w:lang w:val="fi-FI"/>
        </w:rPr>
        <w:t>asumis</w:t>
      </w:r>
      <w:proofErr w:type="spellEnd"/>
      <w:r w:rsidRPr="0093275D">
        <w:rPr>
          <w:color w:val="auto"/>
          <w:szCs w:val="22"/>
          <w:lang w:val="fi-FI"/>
        </w:rPr>
        <w:t xml:space="preserve">- ja palvelukokonaisuuksien edistämiseksi lakiin lisättäisiin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säännökset, joilla mahdollistetaan erilaisten asumismuotojen toteuttaminen samassa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toiminnallisessa kokonaisuudessa. Kohteessa voisi olla palveluasumista ja hoiva-asumista sekä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asumista tavalliseen asuntokantaan kuuluvissa asunnoissa. Tarkoitus on, että henkilö voi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halutessaan elää loppuelämänsä samassa asunnossa…”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Jos tällä tarkoitetaan palveluasumisen ja hoiva-asumisen kohteiden integraation lisäämistä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rakennuksiin, jossa on myös tavallista vuokra- ja omistusasumista kaikenikäisille ihmisille, pitää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VANE esitystä kannatettavana ja vammaisyleissopimuksen mukaisena kehityssuuntana.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Pykälästä ja perusteluista voi saada toisaalta myös käsityksen, että kannustetaan asumisen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palveluja tarvitsevien ihmisten asumisen keskittämiseen, joka puolestaan ei ole vammaisten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ihmisten kannalta tavoiteltu kehityssuunta. Edelleen on syytä huomioida, että jos asiakas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haluaa muuttaa hänen avuntarpeensa muuttuessa tai muutoin, tulisi tämänkin olla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mahdollista. YK:n vammaisyleissopimuksessa 19 artiklassa todetaan, että vammaisella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ihmisellä tulisi olla yhdenvertainen mahdollisuus valita </w:t>
      </w:r>
      <w:r w:rsidRPr="0093275D">
        <w:rPr>
          <w:color w:val="auto"/>
          <w:szCs w:val="22"/>
          <w:lang w:val="fi-FI"/>
        </w:rPr>
        <w:t>asuinpaikkansa</w:t>
      </w:r>
      <w:r w:rsidRPr="0093275D">
        <w:rPr>
          <w:color w:val="auto"/>
          <w:szCs w:val="22"/>
          <w:lang w:val="fi-FI"/>
        </w:rPr>
        <w:t xml:space="preserve"> ja se, missä ja kenen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kanssa asuu.</w:t>
      </w:r>
    </w:p>
    <w:p w:rsidR="0093275D" w:rsidRP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Onko mielestänne pitkäaikaisen laitoshoidon lakkauttaminen sosiaalihuollon yksiköissä iäkkäiden osalta onnistunut ratkaisu (14 §, 14 a §, 15 b §)?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  <w:t>Kyllä.</w:t>
      </w:r>
    </w:p>
    <w:p w:rsidR="0093275D" w:rsidRP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Onko lakiehdotuksessa esitetty palvelusuunnitelman sisällön täsmentäminen tarpeellista (16 §)?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  <w:t>Kyllä.</w:t>
      </w:r>
    </w:p>
    <w:p w:rsidR="0093275D" w:rsidRP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Onko lakiehdotuksessa esitetty omatyöntekijän tehtävien täsmentäminen tarpeellista (17 §)?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  <w:t>Kyllä.</w:t>
      </w:r>
    </w:p>
    <w:p w:rsidR="0093275D" w:rsidRP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Onko lääkehoidon toteuttamista koskeva säännös mielestänne onnistunut (20 §:n 1 mom.)?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  <w:t>Kyllä.</w:t>
      </w:r>
    </w:p>
    <w:p w:rsid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Onko mielestänne kannatettavaa, että seurantayhteenvedot julkaistaisiin toimintayksikkökohtaisina (24 a §)?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>Kyllä.</w:t>
      </w:r>
    </w:p>
    <w:p w:rsidR="0093275D" w:rsidRP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Mitä haasteita näette säännösten toimeenpanossa? Onko lakiesityksellä riskejä?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lastRenderedPageBreak/>
        <w:tab/>
      </w:r>
      <w:r w:rsidRPr="0093275D">
        <w:rPr>
          <w:color w:val="auto"/>
          <w:szCs w:val="22"/>
          <w:lang w:val="fi-FI"/>
        </w:rPr>
        <w:t xml:space="preserve">Haasteena on ammattitaitoisen työvoiman saatavuus koko sosiaali- ja terveydenhuollossa,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mutta erityisesti ikääntyneiden ja erityisryhmien tarpeisiin liittyvissä palveluissa. Tämä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aiheuttaa uhkan yksilöllisten tarpeiden mukaisten palvelujen saannille.  Vammaisten ihmisten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kohdalla ikääntymiseen/vammaisuuteen liittyy palvelujen osalta tulkintaepävarmuutta ja sitä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myötä eriarvoisuutta. Asumisen vaihtoehtojen puute aiheuttaa myös ongelmia ja silloin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”tarpeiden mukaisuus” ei toteudu käytännössä, jos tosiasiallista valinnanmahdollisuutta ei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vaihtoehtojen puuttuessa ole. Ns. hybridiasuminen voi johtaa laitosmaiseen, erityisryhmien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asumisen keskittämiseen.</w:t>
      </w:r>
    </w:p>
    <w:p w:rsidR="0093275D" w:rsidRP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 w:rsidRPr="0093275D">
        <w:rPr>
          <w:i/>
          <w:color w:val="auto"/>
          <w:szCs w:val="22"/>
          <w:lang w:val="fi-FI"/>
        </w:rPr>
        <w:t>Millaista tukea toivotte toimeenpanoon?</w:t>
      </w:r>
    </w:p>
    <w:p w:rsid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Perus- ja ihmisoikeuksista muistuttaminen informaatio-ohjauksessa on edelleen tarpeen.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 xml:space="preserve">Asumisen vaihtoehtojen tarpeiden mukaisuus, esteettömyys ja turvallisuus ovat asioita, joiden </w:t>
      </w:r>
      <w:r>
        <w:rPr>
          <w:color w:val="auto"/>
          <w:szCs w:val="22"/>
          <w:lang w:val="fi-FI"/>
        </w:rPr>
        <w:tab/>
      </w:r>
      <w:r w:rsidRPr="0093275D">
        <w:rPr>
          <w:color w:val="auto"/>
          <w:szCs w:val="22"/>
          <w:lang w:val="fi-FI"/>
        </w:rPr>
        <w:t>toimeenpanossa tarvitaan tukea.</w:t>
      </w:r>
    </w:p>
    <w:p w:rsid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>Mitä muuta haluaisitte lausua esityksestä?</w:t>
      </w:r>
    </w:p>
    <w:p w:rsid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  <w:t>-</w:t>
      </w:r>
    </w:p>
    <w:p w:rsidR="0093275D" w:rsidRDefault="0093275D" w:rsidP="0093275D">
      <w:pPr>
        <w:spacing w:line="240" w:lineRule="auto"/>
        <w:ind w:left="0"/>
        <w:jc w:val="both"/>
        <w:rPr>
          <w:i/>
          <w:color w:val="auto"/>
          <w:szCs w:val="22"/>
          <w:lang w:val="fi-FI"/>
        </w:rPr>
      </w:pPr>
      <w:bookmarkStart w:id="0" w:name="_GoBack"/>
      <w:bookmarkEnd w:id="0"/>
    </w:p>
    <w:p w:rsidR="0093275D" w:rsidRP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i/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>Vammaisten henkilöiden oikeuksien neuvottelukunta</w:t>
      </w:r>
    </w:p>
    <w:p w:rsidR="0093275D" w:rsidRP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93275D" w:rsidRPr="0093275D" w:rsidRDefault="0093275D" w:rsidP="0093275D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93275D" w:rsidRPr="0093275D" w:rsidRDefault="0093275D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sectPr w:rsidR="0093275D" w:rsidRPr="0093275D" w:rsidSect="00C83653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endnote>
  <w:end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footnote>
  <w:foot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75D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93275D">
      <w:rPr>
        <w:noProof/>
      </w:rPr>
      <w:t>3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93275D">
      <w:rPr>
        <w:noProof/>
      </w:rPr>
      <w:t>4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Pr="00C72E35" w:rsidRDefault="0093275D" w:rsidP="00E13907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3.7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>
      <w:rPr>
        <w:color w:val="auto"/>
        <w:lang w:val="fi-FI"/>
      </w:rPr>
      <w:t>18</w:t>
    </w:r>
    <w:r w:rsidR="000057B9">
      <w:rPr>
        <w:color w:val="auto"/>
        <w:lang w:val="fi-FI"/>
      </w:rPr>
      <w:t>.8</w:t>
    </w:r>
    <w:r w:rsidR="00C813A4">
      <w:rPr>
        <w:color w:val="auto"/>
        <w:lang w:val="fi-FI"/>
      </w:rPr>
      <w:t>.2021</w:t>
    </w:r>
  </w:p>
  <w:p w:rsidR="00210D2C" w:rsidRPr="00C72E35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 w:rsidRPr="00C72E35">
      <w:rPr>
        <w:color w:val="auto"/>
        <w:lang w:val="fi-FI"/>
      </w:rPr>
      <w:tab/>
    </w:r>
    <w:r w:rsidR="00052C36" w:rsidRPr="00C72E35">
      <w:rPr>
        <w:color w:val="auto"/>
        <w:lang w:val="fi-FI"/>
      </w:rPr>
      <w:t xml:space="preserve">Vammaisten henkilöiden oikeuksien neuvottelukunta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78A"/>
    <w:multiLevelType w:val="hybridMultilevel"/>
    <w:tmpl w:val="04B26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057B9"/>
    <w:rsid w:val="0001250B"/>
    <w:rsid w:val="00052C36"/>
    <w:rsid w:val="00053BA8"/>
    <w:rsid w:val="00054D27"/>
    <w:rsid w:val="00065071"/>
    <w:rsid w:val="00081A7B"/>
    <w:rsid w:val="00090438"/>
    <w:rsid w:val="00091FFF"/>
    <w:rsid w:val="000C7B40"/>
    <w:rsid w:val="000E671A"/>
    <w:rsid w:val="000F3004"/>
    <w:rsid w:val="001018E4"/>
    <w:rsid w:val="001212FF"/>
    <w:rsid w:val="001213BE"/>
    <w:rsid w:val="00124AFD"/>
    <w:rsid w:val="00124FF3"/>
    <w:rsid w:val="001279E8"/>
    <w:rsid w:val="00135FFD"/>
    <w:rsid w:val="00136334"/>
    <w:rsid w:val="0014734B"/>
    <w:rsid w:val="001660A0"/>
    <w:rsid w:val="001665DB"/>
    <w:rsid w:val="001820BA"/>
    <w:rsid w:val="00186380"/>
    <w:rsid w:val="001A1058"/>
    <w:rsid w:val="001A77F8"/>
    <w:rsid w:val="001F03A4"/>
    <w:rsid w:val="001F6720"/>
    <w:rsid w:val="00210D2C"/>
    <w:rsid w:val="00241C15"/>
    <w:rsid w:val="00246F03"/>
    <w:rsid w:val="00254D16"/>
    <w:rsid w:val="00263ADB"/>
    <w:rsid w:val="00270750"/>
    <w:rsid w:val="00270DA1"/>
    <w:rsid w:val="00271E49"/>
    <w:rsid w:val="00290308"/>
    <w:rsid w:val="00292B98"/>
    <w:rsid w:val="002C4D23"/>
    <w:rsid w:val="002C5201"/>
    <w:rsid w:val="002D1BFE"/>
    <w:rsid w:val="002E47AC"/>
    <w:rsid w:val="00301475"/>
    <w:rsid w:val="00302F54"/>
    <w:rsid w:val="00304DD4"/>
    <w:rsid w:val="00324A82"/>
    <w:rsid w:val="00330927"/>
    <w:rsid w:val="00331719"/>
    <w:rsid w:val="003419B0"/>
    <w:rsid w:val="00371918"/>
    <w:rsid w:val="00380EB8"/>
    <w:rsid w:val="00386750"/>
    <w:rsid w:val="00387A7A"/>
    <w:rsid w:val="003F1760"/>
    <w:rsid w:val="003F7211"/>
    <w:rsid w:val="004012E6"/>
    <w:rsid w:val="004028E0"/>
    <w:rsid w:val="00403DCB"/>
    <w:rsid w:val="00415578"/>
    <w:rsid w:val="00432CCB"/>
    <w:rsid w:val="00441C26"/>
    <w:rsid w:val="00451AFF"/>
    <w:rsid w:val="0045296D"/>
    <w:rsid w:val="00456811"/>
    <w:rsid w:val="004A0B8C"/>
    <w:rsid w:val="004A14F8"/>
    <w:rsid w:val="004B5F86"/>
    <w:rsid w:val="004B7C45"/>
    <w:rsid w:val="004C002A"/>
    <w:rsid w:val="004D6C7A"/>
    <w:rsid w:val="00505C9E"/>
    <w:rsid w:val="00507962"/>
    <w:rsid w:val="00532CDF"/>
    <w:rsid w:val="005338AE"/>
    <w:rsid w:val="0053508D"/>
    <w:rsid w:val="00537C16"/>
    <w:rsid w:val="00540A12"/>
    <w:rsid w:val="00551D50"/>
    <w:rsid w:val="005522AB"/>
    <w:rsid w:val="005528BB"/>
    <w:rsid w:val="005A11D5"/>
    <w:rsid w:val="005A2601"/>
    <w:rsid w:val="005C5275"/>
    <w:rsid w:val="005E02E4"/>
    <w:rsid w:val="005E15AF"/>
    <w:rsid w:val="005E44F2"/>
    <w:rsid w:val="006316B6"/>
    <w:rsid w:val="006452B4"/>
    <w:rsid w:val="00696B53"/>
    <w:rsid w:val="006A5311"/>
    <w:rsid w:val="006C2362"/>
    <w:rsid w:val="006C314E"/>
    <w:rsid w:val="006D77F9"/>
    <w:rsid w:val="006E48B2"/>
    <w:rsid w:val="007054A1"/>
    <w:rsid w:val="00707577"/>
    <w:rsid w:val="00707B08"/>
    <w:rsid w:val="0072436D"/>
    <w:rsid w:val="007350DB"/>
    <w:rsid w:val="00786D05"/>
    <w:rsid w:val="007B3C70"/>
    <w:rsid w:val="007C3864"/>
    <w:rsid w:val="007C6E5D"/>
    <w:rsid w:val="007F61AF"/>
    <w:rsid w:val="00817C61"/>
    <w:rsid w:val="00823CC0"/>
    <w:rsid w:val="00843798"/>
    <w:rsid w:val="00845B58"/>
    <w:rsid w:val="0087776A"/>
    <w:rsid w:val="00896694"/>
    <w:rsid w:val="008A12D5"/>
    <w:rsid w:val="008A7EA2"/>
    <w:rsid w:val="008B517E"/>
    <w:rsid w:val="008C4F86"/>
    <w:rsid w:val="00910B25"/>
    <w:rsid w:val="0091335B"/>
    <w:rsid w:val="009144F6"/>
    <w:rsid w:val="009149EE"/>
    <w:rsid w:val="00931064"/>
    <w:rsid w:val="0093275D"/>
    <w:rsid w:val="0093347A"/>
    <w:rsid w:val="009571AB"/>
    <w:rsid w:val="00983653"/>
    <w:rsid w:val="009841DC"/>
    <w:rsid w:val="009A767E"/>
    <w:rsid w:val="009B3F61"/>
    <w:rsid w:val="009B68F6"/>
    <w:rsid w:val="009C0C41"/>
    <w:rsid w:val="009C528B"/>
    <w:rsid w:val="009D10AC"/>
    <w:rsid w:val="009F1E0D"/>
    <w:rsid w:val="00A1125E"/>
    <w:rsid w:val="00A22136"/>
    <w:rsid w:val="00A24937"/>
    <w:rsid w:val="00A437B4"/>
    <w:rsid w:val="00A624A7"/>
    <w:rsid w:val="00AA767C"/>
    <w:rsid w:val="00AB14C8"/>
    <w:rsid w:val="00AC1747"/>
    <w:rsid w:val="00AD101F"/>
    <w:rsid w:val="00AE14DF"/>
    <w:rsid w:val="00B04541"/>
    <w:rsid w:val="00B157A8"/>
    <w:rsid w:val="00B23DED"/>
    <w:rsid w:val="00B3441A"/>
    <w:rsid w:val="00B563D7"/>
    <w:rsid w:val="00B66E3E"/>
    <w:rsid w:val="00B9738C"/>
    <w:rsid w:val="00BB7E05"/>
    <w:rsid w:val="00BC6AB3"/>
    <w:rsid w:val="00BC7D0C"/>
    <w:rsid w:val="00BF4ADF"/>
    <w:rsid w:val="00C12148"/>
    <w:rsid w:val="00C13D29"/>
    <w:rsid w:val="00C17156"/>
    <w:rsid w:val="00C173EA"/>
    <w:rsid w:val="00C17DB1"/>
    <w:rsid w:val="00C23EB3"/>
    <w:rsid w:val="00C268B7"/>
    <w:rsid w:val="00C359B8"/>
    <w:rsid w:val="00C359CD"/>
    <w:rsid w:val="00C53923"/>
    <w:rsid w:val="00C72E35"/>
    <w:rsid w:val="00C77461"/>
    <w:rsid w:val="00C813A4"/>
    <w:rsid w:val="00C83653"/>
    <w:rsid w:val="00C90130"/>
    <w:rsid w:val="00CA35AF"/>
    <w:rsid w:val="00CB2687"/>
    <w:rsid w:val="00CB3005"/>
    <w:rsid w:val="00CC3B70"/>
    <w:rsid w:val="00CD07DA"/>
    <w:rsid w:val="00CD3DD6"/>
    <w:rsid w:val="00D177F6"/>
    <w:rsid w:val="00D37899"/>
    <w:rsid w:val="00D50AB3"/>
    <w:rsid w:val="00D527E3"/>
    <w:rsid w:val="00D607A8"/>
    <w:rsid w:val="00D62B7E"/>
    <w:rsid w:val="00D702C0"/>
    <w:rsid w:val="00DA46F0"/>
    <w:rsid w:val="00DA79FF"/>
    <w:rsid w:val="00DC27B3"/>
    <w:rsid w:val="00DD3D50"/>
    <w:rsid w:val="00DF11C3"/>
    <w:rsid w:val="00E010F7"/>
    <w:rsid w:val="00E0446A"/>
    <w:rsid w:val="00E13907"/>
    <w:rsid w:val="00E21108"/>
    <w:rsid w:val="00E3311F"/>
    <w:rsid w:val="00E5630E"/>
    <w:rsid w:val="00E7485B"/>
    <w:rsid w:val="00E831D5"/>
    <w:rsid w:val="00E93F9C"/>
    <w:rsid w:val="00E9566E"/>
    <w:rsid w:val="00E97B37"/>
    <w:rsid w:val="00EC01CC"/>
    <w:rsid w:val="00F25C43"/>
    <w:rsid w:val="00F42DEA"/>
    <w:rsid w:val="00F435D2"/>
    <w:rsid w:val="00F4383D"/>
    <w:rsid w:val="00F519FD"/>
    <w:rsid w:val="00F625C8"/>
    <w:rsid w:val="00F827B0"/>
    <w:rsid w:val="00FB76B8"/>
    <w:rsid w:val="00FB7930"/>
    <w:rsid w:val="00FC57A3"/>
    <w:rsid w:val="00FD56EB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99515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CB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F060-6813-4EF3-8CAF-25C16CF9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884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Alatalo Emmi (STM)</cp:lastModifiedBy>
  <cp:revision>5</cp:revision>
  <cp:lastPrinted>2018-03-02T06:56:00Z</cp:lastPrinted>
  <dcterms:created xsi:type="dcterms:W3CDTF">2021-04-12T09:32:00Z</dcterms:created>
  <dcterms:modified xsi:type="dcterms:W3CDTF">2022-01-03T09:05:00Z</dcterms:modified>
</cp:coreProperties>
</file>